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E8D6" w14:textId="77777777" w:rsidR="00500251" w:rsidRDefault="00500251" w:rsidP="00500251">
      <w:pPr>
        <w:shd w:val="clear" w:color="auto" w:fill="FFFFFF"/>
        <w:spacing w:after="0" w:line="240" w:lineRule="auto"/>
        <w:outlineLvl w:val="1"/>
        <w:rPr>
          <w:rFonts w:ascii="Calibri" w:eastAsia="Times New Roman" w:hAnsi="Calibri" w:cs="Calibri"/>
          <w:b/>
          <w:bCs/>
          <w:kern w:val="0"/>
          <w:sz w:val="31"/>
          <w:szCs w:val="31"/>
          <w:lang w:eastAsia="en-IN"/>
          <w14:ligatures w14:val="none"/>
        </w:rPr>
      </w:pPr>
    </w:p>
    <w:p w14:paraId="672A90B5" w14:textId="3327BA5A" w:rsidR="00500251" w:rsidRPr="00912AED" w:rsidRDefault="00500251" w:rsidP="001931E6">
      <w:pPr>
        <w:spacing w:after="0" w:line="240" w:lineRule="auto"/>
        <w:jc w:val="both"/>
        <w:outlineLvl w:val="1"/>
        <w:rPr>
          <w:rFonts w:ascii="Calibri" w:hAnsi="Calibri" w:cs="Calibri"/>
          <w:b/>
          <w:bCs/>
          <w:color w:val="262626" w:themeColor="text1" w:themeTint="D9"/>
          <w:kern w:val="0"/>
          <w:sz w:val="29"/>
          <w:szCs w:val="29"/>
          <w:u w:val="single"/>
          <w:shd w:val="clear" w:color="auto" w:fill="FFFFFF"/>
        </w:rPr>
      </w:pPr>
      <w:r w:rsidRPr="00500251">
        <w:rPr>
          <w:rFonts w:ascii="Calibri" w:hAnsi="Calibri" w:cs="Calibri"/>
          <w:b/>
          <w:bCs/>
          <w:color w:val="262626" w:themeColor="text1" w:themeTint="D9"/>
          <w:kern w:val="0"/>
          <w:sz w:val="29"/>
          <w:szCs w:val="29"/>
          <w:u w:val="single"/>
          <w:shd w:val="clear" w:color="auto" w:fill="FFFFFF"/>
        </w:rPr>
        <w:t>Disclosure under Regulation 46 of SEBI (LODR) Regulations</w:t>
      </w:r>
    </w:p>
    <w:p w14:paraId="1117EC0A" w14:textId="77777777" w:rsidR="00500251" w:rsidRPr="00534015" w:rsidRDefault="00500251" w:rsidP="00500251">
      <w:pPr>
        <w:shd w:val="clear" w:color="auto" w:fill="FFFFFF"/>
        <w:spacing w:after="0" w:line="240" w:lineRule="auto"/>
        <w:outlineLvl w:val="1"/>
        <w:rPr>
          <w:rFonts w:ascii="Arial" w:eastAsia="Times New Roman" w:hAnsi="Arial" w:cs="Arial"/>
          <w:b/>
          <w:bCs/>
          <w:kern w:val="0"/>
          <w:sz w:val="31"/>
          <w:szCs w:val="31"/>
          <w:lang w:eastAsia="en-IN"/>
          <w14:ligatures w14:val="none"/>
        </w:rPr>
      </w:pPr>
    </w:p>
    <w:tbl>
      <w:tblPr>
        <w:tblStyle w:val="TableGridLight"/>
        <w:tblpPr w:leftFromText="180" w:rightFromText="180" w:vertAnchor="text" w:tblpX="-572" w:tblpY="1"/>
        <w:tblW w:w="10627" w:type="dxa"/>
        <w:tblLook w:val="04A0" w:firstRow="1" w:lastRow="0" w:firstColumn="1" w:lastColumn="0" w:noHBand="0" w:noVBand="1"/>
      </w:tblPr>
      <w:tblGrid>
        <w:gridCol w:w="646"/>
        <w:gridCol w:w="5665"/>
        <w:gridCol w:w="4316"/>
      </w:tblGrid>
      <w:tr w:rsidR="00C324AA" w:rsidRPr="00C817A4" w14:paraId="4739E80E" w14:textId="77777777" w:rsidTr="00C324AA">
        <w:tc>
          <w:tcPr>
            <w:tcW w:w="636" w:type="dxa"/>
          </w:tcPr>
          <w:p w14:paraId="7C7237A1" w14:textId="51B5CD79" w:rsidR="00500251" w:rsidRPr="00912AED" w:rsidRDefault="00500251" w:rsidP="001931E6">
            <w:pPr>
              <w:jc w:val="both"/>
              <w:outlineLvl w:val="1"/>
              <w:rPr>
                <w:rFonts w:ascii="Calibri" w:hAnsi="Calibri" w:cs="Calibri"/>
                <w:b/>
                <w:bCs/>
                <w:color w:val="262626" w:themeColor="text1" w:themeTint="D9"/>
                <w:kern w:val="0"/>
                <w:sz w:val="24"/>
                <w:szCs w:val="24"/>
                <w:shd w:val="clear" w:color="auto" w:fill="FFFFFF"/>
              </w:rPr>
            </w:pPr>
            <w:r w:rsidRPr="00912AED">
              <w:rPr>
                <w:rFonts w:ascii="Calibri" w:hAnsi="Calibri" w:cs="Calibri"/>
                <w:b/>
                <w:bCs/>
                <w:color w:val="262626" w:themeColor="text1" w:themeTint="D9"/>
                <w:kern w:val="0"/>
                <w:sz w:val="24"/>
                <w:szCs w:val="24"/>
                <w:shd w:val="clear" w:color="auto" w:fill="FFFFFF"/>
              </w:rPr>
              <w:t>Sr. No.</w:t>
            </w:r>
          </w:p>
        </w:tc>
        <w:tc>
          <w:tcPr>
            <w:tcW w:w="5916" w:type="dxa"/>
          </w:tcPr>
          <w:p w14:paraId="44CD0DC1" w14:textId="7CA6A7D2" w:rsidR="00500251" w:rsidRPr="00912AED" w:rsidRDefault="00500251" w:rsidP="001931E6">
            <w:pPr>
              <w:jc w:val="both"/>
              <w:outlineLvl w:val="1"/>
              <w:rPr>
                <w:rFonts w:ascii="Calibri" w:hAnsi="Calibri" w:cs="Calibri"/>
                <w:b/>
                <w:bCs/>
                <w:color w:val="262626" w:themeColor="text1" w:themeTint="D9"/>
                <w:kern w:val="0"/>
                <w:sz w:val="24"/>
                <w:szCs w:val="24"/>
                <w:shd w:val="clear" w:color="auto" w:fill="FFFFFF"/>
              </w:rPr>
            </w:pPr>
            <w:r w:rsidRPr="00912AED">
              <w:rPr>
                <w:rFonts w:ascii="Calibri" w:hAnsi="Calibri" w:cs="Calibri"/>
                <w:b/>
                <w:bCs/>
                <w:color w:val="262626" w:themeColor="text1" w:themeTint="D9"/>
                <w:kern w:val="0"/>
                <w:sz w:val="24"/>
                <w:szCs w:val="24"/>
                <w:shd w:val="clear" w:color="auto" w:fill="FFFFFF"/>
              </w:rPr>
              <w:t>Particulars</w:t>
            </w:r>
          </w:p>
        </w:tc>
        <w:tc>
          <w:tcPr>
            <w:tcW w:w="4075" w:type="dxa"/>
          </w:tcPr>
          <w:p w14:paraId="09957F1B" w14:textId="4C2F78AF" w:rsidR="00500251" w:rsidRPr="00912AED" w:rsidRDefault="00500251" w:rsidP="001931E6">
            <w:pPr>
              <w:jc w:val="both"/>
              <w:outlineLvl w:val="1"/>
              <w:rPr>
                <w:rFonts w:ascii="Calibri" w:hAnsi="Calibri" w:cs="Calibri"/>
                <w:b/>
                <w:bCs/>
                <w:color w:val="262626" w:themeColor="text1" w:themeTint="D9"/>
                <w:kern w:val="0"/>
                <w:sz w:val="24"/>
                <w:szCs w:val="24"/>
                <w:shd w:val="clear" w:color="auto" w:fill="FFFFFF"/>
              </w:rPr>
            </w:pPr>
            <w:r w:rsidRPr="00912AED">
              <w:rPr>
                <w:rFonts w:ascii="Calibri" w:hAnsi="Calibri" w:cs="Calibri"/>
                <w:b/>
                <w:bCs/>
                <w:color w:val="262626" w:themeColor="text1" w:themeTint="D9"/>
                <w:kern w:val="0"/>
                <w:sz w:val="24"/>
                <w:szCs w:val="24"/>
                <w:shd w:val="clear" w:color="auto" w:fill="FFFFFF"/>
              </w:rPr>
              <w:t>Web address</w:t>
            </w:r>
          </w:p>
        </w:tc>
      </w:tr>
      <w:tr w:rsidR="00C324AA" w:rsidRPr="00C817A4" w14:paraId="54A232C8" w14:textId="77777777" w:rsidTr="00C324AA">
        <w:trPr>
          <w:trHeight w:val="340"/>
        </w:trPr>
        <w:tc>
          <w:tcPr>
            <w:tcW w:w="636" w:type="dxa"/>
          </w:tcPr>
          <w:p w14:paraId="1388323C" w14:textId="77777777" w:rsidR="00500251" w:rsidRPr="00C817A4" w:rsidRDefault="00500251" w:rsidP="00623593">
            <w:pPr>
              <w:outlineLvl w:val="1"/>
              <w:rPr>
                <w:rFonts w:ascii="Calibri" w:eastAsia="Times New Roman" w:hAnsi="Calibri" w:cs="Calibri"/>
                <w:b/>
                <w:bCs/>
                <w:kern w:val="0"/>
                <w:sz w:val="24"/>
                <w:szCs w:val="24"/>
                <w:lang w:eastAsia="en-IN"/>
                <w14:ligatures w14:val="none"/>
              </w:rPr>
            </w:pPr>
          </w:p>
        </w:tc>
        <w:tc>
          <w:tcPr>
            <w:tcW w:w="5916" w:type="dxa"/>
          </w:tcPr>
          <w:p w14:paraId="6AFBF6C5" w14:textId="77777777" w:rsidR="00500251" w:rsidRPr="00C817A4" w:rsidRDefault="00500251" w:rsidP="00623593">
            <w:pPr>
              <w:outlineLvl w:val="1"/>
              <w:rPr>
                <w:rFonts w:ascii="Calibri" w:eastAsia="Times New Roman" w:hAnsi="Calibri" w:cs="Calibri"/>
                <w:b/>
                <w:bCs/>
                <w:kern w:val="0"/>
                <w:sz w:val="24"/>
                <w:szCs w:val="24"/>
                <w:lang w:eastAsia="en-IN"/>
                <w14:ligatures w14:val="none"/>
              </w:rPr>
            </w:pPr>
          </w:p>
        </w:tc>
        <w:tc>
          <w:tcPr>
            <w:tcW w:w="4075" w:type="dxa"/>
          </w:tcPr>
          <w:p w14:paraId="5F36CEA3" w14:textId="77777777" w:rsidR="00500251" w:rsidRPr="00C817A4" w:rsidRDefault="00500251" w:rsidP="00623593">
            <w:pPr>
              <w:outlineLvl w:val="1"/>
              <w:rPr>
                <w:rFonts w:ascii="Calibri" w:eastAsia="Times New Roman" w:hAnsi="Calibri" w:cs="Calibri"/>
                <w:kern w:val="0"/>
                <w:sz w:val="24"/>
                <w:szCs w:val="24"/>
                <w:lang w:eastAsia="en-IN"/>
                <w14:ligatures w14:val="none"/>
              </w:rPr>
            </w:pPr>
          </w:p>
        </w:tc>
      </w:tr>
      <w:tr w:rsidR="00C324AA" w:rsidRPr="00C817A4" w14:paraId="6D558201" w14:textId="77777777" w:rsidTr="00C324AA">
        <w:trPr>
          <w:trHeight w:val="340"/>
        </w:trPr>
        <w:tc>
          <w:tcPr>
            <w:tcW w:w="636" w:type="dxa"/>
          </w:tcPr>
          <w:p w14:paraId="6D830E40" w14:textId="6F4B7E5F"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w:t>
            </w:r>
          </w:p>
        </w:tc>
        <w:tc>
          <w:tcPr>
            <w:tcW w:w="5916" w:type="dxa"/>
          </w:tcPr>
          <w:p w14:paraId="57C6A728" w14:textId="75FD1B08"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Details of business</w:t>
            </w:r>
          </w:p>
        </w:tc>
        <w:tc>
          <w:tcPr>
            <w:tcW w:w="4075" w:type="dxa"/>
          </w:tcPr>
          <w:p w14:paraId="414E50A1" w14:textId="480CEC48"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6" w:history="1">
              <w:r w:rsidR="00AC0AC9" w:rsidRPr="00C817A4">
                <w:rPr>
                  <w:rStyle w:val="Hyperlink"/>
                  <w:rFonts w:ascii="Calibri" w:eastAsia="Times New Roman" w:hAnsi="Calibri" w:cs="Calibri"/>
                  <w:kern w:val="0"/>
                  <w:sz w:val="24"/>
                  <w:szCs w:val="24"/>
                  <w:lang w:eastAsia="en-IN"/>
                  <w14:ligatures w14:val="none"/>
                </w:rPr>
                <w:t>https://www.transpek.com/profile/</w:t>
              </w:r>
            </w:hyperlink>
          </w:p>
          <w:p w14:paraId="7B0797BF" w14:textId="6400C835"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28AB4BE4" w14:textId="77777777" w:rsidTr="00C324AA">
        <w:trPr>
          <w:trHeight w:val="340"/>
        </w:trPr>
        <w:tc>
          <w:tcPr>
            <w:tcW w:w="636" w:type="dxa"/>
          </w:tcPr>
          <w:p w14:paraId="5047925F" w14:textId="1A7B4F45"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w:t>
            </w:r>
          </w:p>
        </w:tc>
        <w:tc>
          <w:tcPr>
            <w:tcW w:w="5916" w:type="dxa"/>
          </w:tcPr>
          <w:p w14:paraId="64C72F2F" w14:textId="489037DB"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Terms and conditions of appointment of independent directors</w:t>
            </w:r>
          </w:p>
        </w:tc>
        <w:tc>
          <w:tcPr>
            <w:tcW w:w="4075" w:type="dxa"/>
          </w:tcPr>
          <w:p w14:paraId="338C0A64" w14:textId="03EE3956"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7" w:history="1">
              <w:r w:rsidR="00AC0AC9" w:rsidRPr="00C817A4">
                <w:rPr>
                  <w:rStyle w:val="Hyperlink"/>
                  <w:rFonts w:ascii="Calibri" w:eastAsia="Times New Roman" w:hAnsi="Calibri" w:cs="Calibri"/>
                  <w:kern w:val="0"/>
                  <w:sz w:val="24"/>
                  <w:szCs w:val="24"/>
                  <w:lang w:eastAsia="en-IN"/>
                  <w14:ligatures w14:val="none"/>
                </w:rPr>
                <w:t>https://www.transpek.com/wp-content/uploads/2023/02/familiarisation-programme-policy.pdf</w:t>
              </w:r>
            </w:hyperlink>
          </w:p>
          <w:p w14:paraId="486A14C3" w14:textId="326579A1"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065CEF9F" w14:textId="77777777" w:rsidTr="00C324AA">
        <w:trPr>
          <w:trHeight w:val="340"/>
        </w:trPr>
        <w:tc>
          <w:tcPr>
            <w:tcW w:w="636" w:type="dxa"/>
          </w:tcPr>
          <w:p w14:paraId="4E8B3581" w14:textId="2328EEC8"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3.</w:t>
            </w:r>
          </w:p>
        </w:tc>
        <w:tc>
          <w:tcPr>
            <w:tcW w:w="5916" w:type="dxa"/>
          </w:tcPr>
          <w:p w14:paraId="4D90813C" w14:textId="68199699"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Composition of various committees of board of directors</w:t>
            </w:r>
          </w:p>
        </w:tc>
        <w:tc>
          <w:tcPr>
            <w:tcW w:w="4075" w:type="dxa"/>
          </w:tcPr>
          <w:p w14:paraId="3B349770" w14:textId="609682D1"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8" w:history="1">
              <w:r w:rsidR="00AC0AC9" w:rsidRPr="00C817A4">
                <w:rPr>
                  <w:rStyle w:val="Hyperlink"/>
                  <w:rFonts w:ascii="Calibri" w:eastAsia="Times New Roman" w:hAnsi="Calibri" w:cs="Calibri"/>
                  <w:kern w:val="0"/>
                  <w:sz w:val="24"/>
                  <w:szCs w:val="24"/>
                  <w:lang w:eastAsia="en-IN"/>
                  <w14:ligatures w14:val="none"/>
                </w:rPr>
                <w:t>https://www.transpek.com/wp-content/uploads/2023/02/LIST-OF-COMMITTEES.pdf</w:t>
              </w:r>
            </w:hyperlink>
          </w:p>
          <w:p w14:paraId="3BBABFCD" w14:textId="0DFB10A2"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132BD4F8" w14:textId="77777777" w:rsidTr="00C324AA">
        <w:trPr>
          <w:trHeight w:val="340"/>
        </w:trPr>
        <w:tc>
          <w:tcPr>
            <w:tcW w:w="636" w:type="dxa"/>
          </w:tcPr>
          <w:p w14:paraId="36615990" w14:textId="37C777ED"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4.</w:t>
            </w:r>
          </w:p>
        </w:tc>
        <w:tc>
          <w:tcPr>
            <w:tcW w:w="5916" w:type="dxa"/>
          </w:tcPr>
          <w:p w14:paraId="4FB5C8FF" w14:textId="62B4E4A3"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Code of conduct of board of directors and senior management personnel</w:t>
            </w:r>
          </w:p>
        </w:tc>
        <w:tc>
          <w:tcPr>
            <w:tcW w:w="4075" w:type="dxa"/>
          </w:tcPr>
          <w:p w14:paraId="38D29B6E" w14:textId="6EAC821E"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9" w:history="1">
              <w:r w:rsidR="00AC0AC9" w:rsidRPr="00C817A4">
                <w:rPr>
                  <w:rStyle w:val="Hyperlink"/>
                  <w:rFonts w:ascii="Calibri" w:eastAsia="Times New Roman" w:hAnsi="Calibri" w:cs="Calibri"/>
                  <w:kern w:val="0"/>
                  <w:sz w:val="24"/>
                  <w:szCs w:val="24"/>
                  <w:lang w:eastAsia="en-IN"/>
                  <w14:ligatures w14:val="none"/>
                </w:rPr>
                <w:t>https://www.transpek.com/wp-content/uploads/2018/04/Code-of-Conduct.pdf</w:t>
              </w:r>
            </w:hyperlink>
          </w:p>
          <w:p w14:paraId="0BECB6C2" w14:textId="3E799F29"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1AB8531B" w14:textId="77777777" w:rsidTr="00C324AA">
        <w:trPr>
          <w:trHeight w:val="340"/>
        </w:trPr>
        <w:tc>
          <w:tcPr>
            <w:tcW w:w="636" w:type="dxa"/>
          </w:tcPr>
          <w:p w14:paraId="1395F32E" w14:textId="7D592B46"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5.</w:t>
            </w:r>
          </w:p>
        </w:tc>
        <w:tc>
          <w:tcPr>
            <w:tcW w:w="5916" w:type="dxa"/>
          </w:tcPr>
          <w:p w14:paraId="7A9EF151" w14:textId="69FBC661"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Details of establishment of vigil mechanism/ Whistle Blower policy</w:t>
            </w:r>
          </w:p>
        </w:tc>
        <w:tc>
          <w:tcPr>
            <w:tcW w:w="4075" w:type="dxa"/>
          </w:tcPr>
          <w:p w14:paraId="64E8033B" w14:textId="4088D4B0"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0" w:history="1">
              <w:r w:rsidR="00AC0AC9" w:rsidRPr="00C817A4">
                <w:rPr>
                  <w:rStyle w:val="Hyperlink"/>
                  <w:rFonts w:ascii="Calibri" w:eastAsia="Times New Roman" w:hAnsi="Calibri" w:cs="Calibri"/>
                  <w:kern w:val="0"/>
                  <w:sz w:val="24"/>
                  <w:szCs w:val="24"/>
                  <w:lang w:eastAsia="en-IN"/>
                  <w14:ligatures w14:val="none"/>
                </w:rPr>
                <w:t>https://www.transpek.com/wp-content/uploads/2018/10/Whistle-Blower-Policy.pdf</w:t>
              </w:r>
            </w:hyperlink>
          </w:p>
          <w:p w14:paraId="3E9CA6D0" w14:textId="7BB7678C"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1AF26A42" w14:textId="77777777" w:rsidTr="00C324AA">
        <w:trPr>
          <w:trHeight w:val="340"/>
        </w:trPr>
        <w:tc>
          <w:tcPr>
            <w:tcW w:w="636" w:type="dxa"/>
          </w:tcPr>
          <w:p w14:paraId="70783B69" w14:textId="60DE2552"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6</w:t>
            </w:r>
          </w:p>
        </w:tc>
        <w:tc>
          <w:tcPr>
            <w:tcW w:w="5916" w:type="dxa"/>
          </w:tcPr>
          <w:p w14:paraId="4F8C11A5" w14:textId="2AB98F60" w:rsidR="00500251" w:rsidRPr="00C817A4" w:rsidRDefault="00534015"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Criteria of making payments to non- executive directors</w:t>
            </w:r>
          </w:p>
        </w:tc>
        <w:tc>
          <w:tcPr>
            <w:tcW w:w="4075" w:type="dxa"/>
          </w:tcPr>
          <w:p w14:paraId="3892B70F" w14:textId="39F38427"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1" w:history="1">
              <w:r w:rsidR="00AC0AC9" w:rsidRPr="00C817A4">
                <w:rPr>
                  <w:rStyle w:val="Hyperlink"/>
                  <w:rFonts w:ascii="Calibri" w:eastAsia="Times New Roman" w:hAnsi="Calibri" w:cs="Calibri"/>
                  <w:kern w:val="0"/>
                  <w:sz w:val="24"/>
                  <w:szCs w:val="24"/>
                  <w:lang w:eastAsia="en-IN"/>
                  <w14:ligatures w14:val="none"/>
                </w:rPr>
                <w:t>https://www.transpek.com/wp-content/uploads/2023/04/Criteria-for-making-payment-to-Non-Executive-Directors.pdf</w:t>
              </w:r>
            </w:hyperlink>
          </w:p>
          <w:p w14:paraId="4B8DD35D" w14:textId="4E0AB481"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5C2B1EF5" w14:textId="77777777" w:rsidTr="00C324AA">
        <w:trPr>
          <w:trHeight w:val="340"/>
        </w:trPr>
        <w:tc>
          <w:tcPr>
            <w:tcW w:w="636" w:type="dxa"/>
          </w:tcPr>
          <w:p w14:paraId="60E326CA" w14:textId="2C9CC3F7"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7.</w:t>
            </w:r>
          </w:p>
        </w:tc>
        <w:tc>
          <w:tcPr>
            <w:tcW w:w="5916" w:type="dxa"/>
          </w:tcPr>
          <w:p w14:paraId="0553F1CC" w14:textId="0F6E3700"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policy on dealing with related party transactions</w:t>
            </w:r>
          </w:p>
        </w:tc>
        <w:tc>
          <w:tcPr>
            <w:tcW w:w="4075" w:type="dxa"/>
          </w:tcPr>
          <w:p w14:paraId="0F5B8825" w14:textId="4C9A0907"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2" w:history="1">
              <w:r w:rsidR="00AC0AC9" w:rsidRPr="00C817A4">
                <w:rPr>
                  <w:rStyle w:val="Hyperlink"/>
                  <w:rFonts w:ascii="Calibri" w:eastAsia="Times New Roman" w:hAnsi="Calibri" w:cs="Calibri"/>
                  <w:kern w:val="0"/>
                  <w:sz w:val="24"/>
                  <w:szCs w:val="24"/>
                  <w:lang w:eastAsia="en-IN"/>
                  <w14:ligatures w14:val="none"/>
                </w:rPr>
                <w:t>https://www.transpek.com/wp-content/uploads/2022/04/Policy-on-Related-Party-Transactions.pdf</w:t>
              </w:r>
            </w:hyperlink>
          </w:p>
          <w:p w14:paraId="006FCD7F" w14:textId="0DF6AB73"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486A7573" w14:textId="77777777" w:rsidTr="00C324AA">
        <w:trPr>
          <w:trHeight w:val="340"/>
        </w:trPr>
        <w:tc>
          <w:tcPr>
            <w:tcW w:w="636" w:type="dxa"/>
          </w:tcPr>
          <w:p w14:paraId="7D4F8214" w14:textId="1EBEC8E4"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8.</w:t>
            </w:r>
          </w:p>
        </w:tc>
        <w:tc>
          <w:tcPr>
            <w:tcW w:w="5916" w:type="dxa"/>
          </w:tcPr>
          <w:p w14:paraId="6E3E4634" w14:textId="3D9B0F6D"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policy for determining ‘material’ subsidiaries</w:t>
            </w:r>
          </w:p>
        </w:tc>
        <w:tc>
          <w:tcPr>
            <w:tcW w:w="4075" w:type="dxa"/>
          </w:tcPr>
          <w:p w14:paraId="66182C5A" w14:textId="5F9B7997" w:rsidR="00500251" w:rsidRPr="00C817A4" w:rsidRDefault="00AC0AC9" w:rsidP="00507879">
            <w:pPr>
              <w:jc w:val="both"/>
              <w:outlineLvl w:val="1"/>
              <w:rPr>
                <w:rFonts w:ascii="Calibri" w:eastAsia="Times New Roman" w:hAnsi="Calibri" w:cs="Calibri"/>
                <w:kern w:val="0"/>
                <w:sz w:val="24"/>
                <w:szCs w:val="24"/>
                <w:lang w:eastAsia="en-IN"/>
                <w14:ligatures w14:val="none"/>
              </w:rPr>
            </w:pPr>
            <w:r w:rsidRPr="00C817A4">
              <w:rPr>
                <w:rFonts w:ascii="Calibri" w:eastAsia="Times New Roman" w:hAnsi="Calibri" w:cs="Calibri"/>
                <w:kern w:val="0"/>
                <w:sz w:val="24"/>
                <w:szCs w:val="24"/>
                <w:lang w:eastAsia="en-IN"/>
                <w14:ligatures w14:val="none"/>
              </w:rPr>
              <w:t>NA</w:t>
            </w:r>
          </w:p>
        </w:tc>
      </w:tr>
      <w:tr w:rsidR="00C324AA" w:rsidRPr="00C817A4" w14:paraId="04BED980" w14:textId="77777777" w:rsidTr="00C324AA">
        <w:trPr>
          <w:trHeight w:val="340"/>
        </w:trPr>
        <w:tc>
          <w:tcPr>
            <w:tcW w:w="636" w:type="dxa"/>
          </w:tcPr>
          <w:p w14:paraId="3728A72D" w14:textId="182D9FEF"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9</w:t>
            </w:r>
          </w:p>
        </w:tc>
        <w:tc>
          <w:tcPr>
            <w:tcW w:w="5916" w:type="dxa"/>
          </w:tcPr>
          <w:p w14:paraId="2DA2407E" w14:textId="2BBE291F" w:rsidR="00500251" w:rsidRPr="009042CD" w:rsidRDefault="007B0A75" w:rsidP="009042CD">
            <w:pPr>
              <w:rPr>
                <w:rFonts w:ascii="Calibri" w:eastAsia="Times New Roman" w:hAnsi="Calibri" w:cs="Calibri"/>
                <w:color w:val="262626" w:themeColor="text1" w:themeTint="D9"/>
                <w:kern w:val="0"/>
                <w:sz w:val="24"/>
                <w:szCs w:val="24"/>
                <w:shd w:val="clear" w:color="auto" w:fill="FFFFFF"/>
                <w:lang w:eastAsia="en-IN"/>
                <w14:ligatures w14:val="none"/>
              </w:rPr>
            </w:pPr>
            <w:r w:rsidRPr="007B0A75">
              <w:rPr>
                <w:rFonts w:ascii="Calibri" w:eastAsia="Times New Roman" w:hAnsi="Calibri" w:cs="Calibri"/>
                <w:color w:val="262626" w:themeColor="text1" w:themeTint="D9"/>
                <w:kern w:val="0"/>
                <w:sz w:val="24"/>
                <w:szCs w:val="24"/>
                <w:shd w:val="clear" w:color="auto" w:fill="FFFFFF"/>
                <w:lang w:eastAsia="en-IN"/>
                <w14:ligatures w14:val="none"/>
              </w:rPr>
              <w:t>Details of familiarization programmes imparted to Independent Directors including the following details:</w:t>
            </w:r>
          </w:p>
        </w:tc>
        <w:tc>
          <w:tcPr>
            <w:tcW w:w="4075" w:type="dxa"/>
          </w:tcPr>
          <w:p w14:paraId="4490DEC4" w14:textId="393C5C89" w:rsidR="00AC0AC9" w:rsidRPr="00C817A4" w:rsidRDefault="0084590B" w:rsidP="00507879">
            <w:pPr>
              <w:jc w:val="both"/>
              <w:outlineLvl w:val="1"/>
              <w:rPr>
                <w:rFonts w:ascii="Calibri" w:eastAsia="Times New Roman" w:hAnsi="Calibri" w:cs="Calibri"/>
                <w:kern w:val="0"/>
                <w:sz w:val="24"/>
                <w:szCs w:val="24"/>
                <w:lang w:eastAsia="en-IN"/>
                <w14:ligatures w14:val="none"/>
              </w:rPr>
            </w:pPr>
            <w:hyperlink r:id="rId13" w:history="1">
              <w:r w:rsidR="00AC0AC9" w:rsidRPr="00C817A4">
                <w:rPr>
                  <w:rStyle w:val="Hyperlink"/>
                  <w:rFonts w:ascii="Calibri" w:eastAsia="Times New Roman" w:hAnsi="Calibri" w:cs="Calibri"/>
                  <w:kern w:val="0"/>
                  <w:sz w:val="24"/>
                  <w:szCs w:val="24"/>
                  <w:lang w:eastAsia="en-IN"/>
                  <w14:ligatures w14:val="none"/>
                </w:rPr>
                <w:t>https://www.transpek.com/wp-content/uploads/2018/04/Independent-Director-Familiarisation-Programme.pdf</w:t>
              </w:r>
            </w:hyperlink>
          </w:p>
        </w:tc>
      </w:tr>
      <w:tr w:rsidR="00C324AA" w:rsidRPr="00C817A4" w14:paraId="12E278CE" w14:textId="77777777" w:rsidTr="00C324AA">
        <w:trPr>
          <w:trHeight w:val="340"/>
        </w:trPr>
        <w:tc>
          <w:tcPr>
            <w:tcW w:w="636" w:type="dxa"/>
          </w:tcPr>
          <w:p w14:paraId="046957E1" w14:textId="223AF079"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10.</w:t>
            </w:r>
          </w:p>
        </w:tc>
        <w:tc>
          <w:tcPr>
            <w:tcW w:w="5916" w:type="dxa"/>
          </w:tcPr>
          <w:p w14:paraId="585CFB6C" w14:textId="6B3C4D0A"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the email address for grievance redressal and other relevant details</w:t>
            </w:r>
          </w:p>
        </w:tc>
        <w:tc>
          <w:tcPr>
            <w:tcW w:w="4075" w:type="dxa"/>
          </w:tcPr>
          <w:p w14:paraId="3CA837BC" w14:textId="75CA33E3"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4" w:history="1">
              <w:r w:rsidR="00AC0AC9" w:rsidRPr="00C817A4">
                <w:rPr>
                  <w:rStyle w:val="Hyperlink"/>
                  <w:rFonts w:ascii="Calibri" w:eastAsia="Times New Roman" w:hAnsi="Calibri" w:cs="Calibri"/>
                  <w:kern w:val="0"/>
                  <w:sz w:val="24"/>
                  <w:szCs w:val="24"/>
                  <w:lang w:eastAsia="en-IN"/>
                  <w14:ligatures w14:val="none"/>
                </w:rPr>
                <w:t>https://www.transpek.com/investors-grievances/</w:t>
              </w:r>
            </w:hyperlink>
          </w:p>
          <w:p w14:paraId="02265048" w14:textId="10492917"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734D39CF" w14:textId="77777777" w:rsidTr="00C324AA">
        <w:trPr>
          <w:trHeight w:val="340"/>
        </w:trPr>
        <w:tc>
          <w:tcPr>
            <w:tcW w:w="636" w:type="dxa"/>
          </w:tcPr>
          <w:p w14:paraId="1541357B" w14:textId="2ECC3EC5"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11.</w:t>
            </w:r>
          </w:p>
        </w:tc>
        <w:tc>
          <w:tcPr>
            <w:tcW w:w="5916" w:type="dxa"/>
          </w:tcPr>
          <w:p w14:paraId="01AD7479" w14:textId="2EA26981"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contact information of the designated officials of the listed entity who are responsible for assisting and handling investor grievances</w:t>
            </w:r>
          </w:p>
        </w:tc>
        <w:tc>
          <w:tcPr>
            <w:tcW w:w="4075" w:type="dxa"/>
          </w:tcPr>
          <w:p w14:paraId="70E72BE6" w14:textId="376F5796"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5" w:history="1">
              <w:r w:rsidR="00AC0AC9" w:rsidRPr="00C817A4">
                <w:rPr>
                  <w:rStyle w:val="Hyperlink"/>
                  <w:rFonts w:ascii="Calibri" w:eastAsia="Times New Roman" w:hAnsi="Calibri" w:cs="Calibri"/>
                  <w:kern w:val="0"/>
                  <w:sz w:val="24"/>
                  <w:szCs w:val="24"/>
                  <w:lang w:eastAsia="en-IN"/>
                  <w14:ligatures w14:val="none"/>
                </w:rPr>
                <w:t>https://www.transpek.com/investors-grievances/</w:t>
              </w:r>
            </w:hyperlink>
          </w:p>
          <w:p w14:paraId="7659EFB0" w14:textId="790F6724"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5C733324" w14:textId="77777777" w:rsidTr="00392C89">
        <w:trPr>
          <w:trHeight w:val="2934"/>
        </w:trPr>
        <w:tc>
          <w:tcPr>
            <w:tcW w:w="636" w:type="dxa"/>
          </w:tcPr>
          <w:p w14:paraId="74AFA951" w14:textId="4E86D70A"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lastRenderedPageBreak/>
              <w:t>12.</w:t>
            </w:r>
          </w:p>
        </w:tc>
        <w:tc>
          <w:tcPr>
            <w:tcW w:w="5916" w:type="dxa"/>
          </w:tcPr>
          <w:p w14:paraId="5EB3B5C2" w14:textId="39910899" w:rsidR="007B0A75" w:rsidRPr="00C817A4" w:rsidRDefault="007B0A75" w:rsidP="007B0A75">
            <w:pPr>
              <w:rPr>
                <w:rFonts w:ascii="Calibri" w:eastAsia="Times New Roman" w:hAnsi="Calibri" w:cs="Calibri"/>
                <w:color w:val="262626" w:themeColor="text1" w:themeTint="D9"/>
                <w:kern w:val="0"/>
                <w:sz w:val="24"/>
                <w:szCs w:val="24"/>
                <w:shd w:val="clear" w:color="auto" w:fill="FFFFFF"/>
                <w:lang w:eastAsia="en-IN"/>
                <w14:ligatures w14:val="none"/>
              </w:rPr>
            </w:pPr>
            <w:r w:rsidRPr="007B0A75">
              <w:rPr>
                <w:rFonts w:ascii="Calibri" w:eastAsia="Times New Roman" w:hAnsi="Calibri" w:cs="Calibri"/>
                <w:color w:val="262626" w:themeColor="text1" w:themeTint="D9"/>
                <w:kern w:val="0"/>
                <w:sz w:val="24"/>
                <w:szCs w:val="24"/>
                <w:shd w:val="clear" w:color="auto" w:fill="FFFFFF"/>
                <w:lang w:eastAsia="en-IN"/>
                <w14:ligatures w14:val="none"/>
              </w:rPr>
              <w:t>Financial information including:</w:t>
            </w:r>
          </w:p>
          <w:p w14:paraId="48D5B5EA" w14:textId="77777777" w:rsidR="007B0A75" w:rsidRPr="007B0A75" w:rsidRDefault="007B0A75" w:rsidP="007B0A75">
            <w:pPr>
              <w:rPr>
                <w:rFonts w:ascii="Calibri" w:eastAsia="Times New Roman" w:hAnsi="Calibri" w:cs="Calibri"/>
                <w:color w:val="262626" w:themeColor="text1" w:themeTint="D9"/>
                <w:kern w:val="0"/>
                <w:sz w:val="24"/>
                <w:szCs w:val="24"/>
                <w:shd w:val="clear" w:color="auto" w:fill="FFFFFF"/>
                <w:lang w:eastAsia="en-IN"/>
                <w14:ligatures w14:val="none"/>
              </w:rPr>
            </w:pPr>
          </w:p>
          <w:p w14:paraId="2F50A9A6" w14:textId="77777777" w:rsidR="007B0A75" w:rsidRPr="007B0A75" w:rsidRDefault="007B0A75" w:rsidP="001931E6">
            <w:pPr>
              <w:jc w:val="both"/>
              <w:rPr>
                <w:rFonts w:ascii="Calibri" w:eastAsia="Times New Roman" w:hAnsi="Calibri" w:cs="Calibri"/>
                <w:color w:val="262626" w:themeColor="text1" w:themeTint="D9"/>
                <w:kern w:val="0"/>
                <w:sz w:val="24"/>
                <w:szCs w:val="24"/>
                <w:shd w:val="clear" w:color="auto" w:fill="FFFFFF"/>
                <w:lang w:eastAsia="en-IN"/>
                <w14:ligatures w14:val="none"/>
              </w:rPr>
            </w:pPr>
            <w:r w:rsidRPr="007B0A75">
              <w:rPr>
                <w:rFonts w:ascii="Calibri" w:eastAsia="Times New Roman" w:hAnsi="Calibri" w:cs="Calibri"/>
                <w:color w:val="262626" w:themeColor="text1" w:themeTint="D9"/>
                <w:kern w:val="0"/>
                <w:sz w:val="24"/>
                <w:szCs w:val="24"/>
                <w:shd w:val="clear" w:color="auto" w:fill="FFFFFF"/>
                <w:lang w:eastAsia="en-IN"/>
                <w14:ligatures w14:val="none"/>
              </w:rPr>
              <w:t>(i) Notice of Meeting of the Board of Directors where Financial Results shall be discussed</w:t>
            </w:r>
          </w:p>
          <w:p w14:paraId="44890B70" w14:textId="77777777" w:rsidR="007B0A75" w:rsidRPr="007B0A75" w:rsidRDefault="007B0A75" w:rsidP="001931E6">
            <w:pPr>
              <w:jc w:val="both"/>
              <w:rPr>
                <w:rFonts w:ascii="Calibri" w:eastAsia="Times New Roman" w:hAnsi="Calibri" w:cs="Calibri"/>
                <w:color w:val="262626" w:themeColor="text1" w:themeTint="D9"/>
                <w:kern w:val="0"/>
                <w:sz w:val="24"/>
                <w:szCs w:val="24"/>
                <w:shd w:val="clear" w:color="auto" w:fill="FFFFFF"/>
                <w:lang w:eastAsia="en-IN"/>
                <w14:ligatures w14:val="none"/>
              </w:rPr>
            </w:pPr>
            <w:r w:rsidRPr="007B0A75">
              <w:rPr>
                <w:rFonts w:ascii="Calibri" w:eastAsia="Times New Roman" w:hAnsi="Calibri" w:cs="Calibri"/>
                <w:color w:val="262626" w:themeColor="text1" w:themeTint="D9"/>
                <w:kern w:val="0"/>
                <w:sz w:val="24"/>
                <w:szCs w:val="24"/>
                <w:shd w:val="clear" w:color="auto" w:fill="FFFFFF"/>
                <w:lang w:eastAsia="en-IN"/>
                <w14:ligatures w14:val="none"/>
              </w:rPr>
              <w:t>(ii) Financial Results, on conclusion of the Meeting of the Board of Directors where the Financial Results were approved</w:t>
            </w:r>
          </w:p>
          <w:p w14:paraId="5888A220" w14:textId="77777777" w:rsidR="007B0A75" w:rsidRPr="007B0A75" w:rsidRDefault="007B0A75" w:rsidP="001931E6">
            <w:pPr>
              <w:jc w:val="both"/>
              <w:rPr>
                <w:rFonts w:ascii="Calibri" w:eastAsia="Times New Roman" w:hAnsi="Calibri" w:cs="Calibri"/>
                <w:color w:val="262626" w:themeColor="text1" w:themeTint="D9"/>
                <w:kern w:val="0"/>
                <w:sz w:val="24"/>
                <w:szCs w:val="24"/>
                <w:shd w:val="clear" w:color="auto" w:fill="FFFFFF"/>
                <w:lang w:eastAsia="en-IN"/>
                <w14:ligatures w14:val="none"/>
              </w:rPr>
            </w:pPr>
            <w:r w:rsidRPr="007B0A75">
              <w:rPr>
                <w:rFonts w:ascii="Calibri" w:eastAsia="Times New Roman" w:hAnsi="Calibri" w:cs="Calibri"/>
                <w:color w:val="262626" w:themeColor="text1" w:themeTint="D9"/>
                <w:kern w:val="0"/>
                <w:sz w:val="24"/>
                <w:szCs w:val="24"/>
                <w:shd w:val="clear" w:color="auto" w:fill="FFFFFF"/>
                <w:lang w:eastAsia="en-IN"/>
                <w14:ligatures w14:val="none"/>
              </w:rPr>
              <w:t>(iii) Complete copy of the Annual Report including balance sheet, Profit and Loss account, Directors Report, Corporate Governance Report etc.</w:t>
            </w:r>
          </w:p>
          <w:p w14:paraId="11FF70A7" w14:textId="3BA7F11A"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p>
        </w:tc>
        <w:tc>
          <w:tcPr>
            <w:tcW w:w="4075" w:type="dxa"/>
          </w:tcPr>
          <w:p w14:paraId="208B0D68" w14:textId="6E0704BA"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6" w:history="1">
              <w:r w:rsidR="00AC0AC9" w:rsidRPr="00C817A4">
                <w:rPr>
                  <w:rStyle w:val="Hyperlink"/>
                  <w:rFonts w:ascii="Calibri" w:eastAsia="Times New Roman" w:hAnsi="Calibri" w:cs="Calibri"/>
                  <w:kern w:val="0"/>
                  <w:sz w:val="24"/>
                  <w:szCs w:val="24"/>
                  <w:lang w:eastAsia="en-IN"/>
                  <w14:ligatures w14:val="none"/>
                </w:rPr>
                <w:t>https://www.transpek.com/financial-results/</w:t>
              </w:r>
            </w:hyperlink>
          </w:p>
          <w:p w14:paraId="0F91839F" w14:textId="114919E4"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42E54173" w14:textId="77777777" w:rsidTr="00C324AA">
        <w:trPr>
          <w:trHeight w:val="340"/>
        </w:trPr>
        <w:tc>
          <w:tcPr>
            <w:tcW w:w="636" w:type="dxa"/>
          </w:tcPr>
          <w:p w14:paraId="4A7DD7C0" w14:textId="09D59D3F"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13.</w:t>
            </w:r>
          </w:p>
        </w:tc>
        <w:tc>
          <w:tcPr>
            <w:tcW w:w="5916" w:type="dxa"/>
          </w:tcPr>
          <w:p w14:paraId="58CABB43" w14:textId="0FD01CD4"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shareholding pattern</w:t>
            </w:r>
          </w:p>
        </w:tc>
        <w:tc>
          <w:tcPr>
            <w:tcW w:w="4075" w:type="dxa"/>
          </w:tcPr>
          <w:p w14:paraId="62A3CD1C" w14:textId="1ABA3546"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7" w:history="1">
              <w:r w:rsidR="00AC0AC9"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747EE35C" w14:textId="688ABC65"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730D1A29" w14:textId="77777777" w:rsidTr="00C324AA">
        <w:trPr>
          <w:trHeight w:val="340"/>
        </w:trPr>
        <w:tc>
          <w:tcPr>
            <w:tcW w:w="636" w:type="dxa"/>
          </w:tcPr>
          <w:p w14:paraId="483B7950" w14:textId="05A0E42E"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14.</w:t>
            </w:r>
          </w:p>
        </w:tc>
        <w:tc>
          <w:tcPr>
            <w:tcW w:w="5916" w:type="dxa"/>
          </w:tcPr>
          <w:p w14:paraId="2CA9C3BC" w14:textId="0E7C67DF"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 xml:space="preserve">details of agreements </w:t>
            </w:r>
            <w:proofErr w:type="gramStart"/>
            <w:r w:rsidRPr="00C817A4">
              <w:rPr>
                <w:rFonts w:ascii="Calibri" w:hAnsi="Calibri" w:cs="Calibri"/>
                <w:color w:val="262626" w:themeColor="text1" w:themeTint="D9"/>
                <w:kern w:val="0"/>
                <w:sz w:val="24"/>
                <w:szCs w:val="24"/>
                <w:shd w:val="clear" w:color="auto" w:fill="FFFFFF"/>
              </w:rPr>
              <w:t>entered into</w:t>
            </w:r>
            <w:proofErr w:type="gramEnd"/>
            <w:r w:rsidRPr="00C817A4">
              <w:rPr>
                <w:rFonts w:ascii="Calibri" w:hAnsi="Calibri" w:cs="Calibri"/>
                <w:color w:val="262626" w:themeColor="text1" w:themeTint="D9"/>
                <w:kern w:val="0"/>
                <w:sz w:val="24"/>
                <w:szCs w:val="24"/>
                <w:shd w:val="clear" w:color="auto" w:fill="FFFFFF"/>
              </w:rPr>
              <w:t xml:space="preserve"> with the media companies and/or their associates, etc</w:t>
            </w:r>
          </w:p>
        </w:tc>
        <w:tc>
          <w:tcPr>
            <w:tcW w:w="4075" w:type="dxa"/>
          </w:tcPr>
          <w:p w14:paraId="07C6DCB1" w14:textId="6C51B88F" w:rsidR="00500251" w:rsidRPr="00C817A4" w:rsidRDefault="00AC0AC9" w:rsidP="00507879">
            <w:pPr>
              <w:jc w:val="both"/>
              <w:outlineLvl w:val="1"/>
              <w:rPr>
                <w:rFonts w:ascii="Calibri" w:eastAsia="Times New Roman" w:hAnsi="Calibri" w:cs="Calibri"/>
                <w:kern w:val="0"/>
                <w:sz w:val="24"/>
                <w:szCs w:val="24"/>
                <w:lang w:eastAsia="en-IN"/>
                <w14:ligatures w14:val="none"/>
              </w:rPr>
            </w:pPr>
            <w:r w:rsidRPr="00C817A4">
              <w:rPr>
                <w:rFonts w:ascii="Calibri" w:eastAsia="Times New Roman" w:hAnsi="Calibri" w:cs="Calibri"/>
                <w:kern w:val="0"/>
                <w:sz w:val="24"/>
                <w:szCs w:val="24"/>
                <w:lang w:eastAsia="en-IN"/>
                <w14:ligatures w14:val="none"/>
              </w:rPr>
              <w:t>NA</w:t>
            </w:r>
          </w:p>
        </w:tc>
      </w:tr>
      <w:tr w:rsidR="00C324AA" w:rsidRPr="00C817A4" w14:paraId="07873ADD" w14:textId="77777777" w:rsidTr="00C324AA">
        <w:trPr>
          <w:trHeight w:val="340"/>
        </w:trPr>
        <w:tc>
          <w:tcPr>
            <w:tcW w:w="636" w:type="dxa"/>
          </w:tcPr>
          <w:p w14:paraId="58B18902" w14:textId="343C0EE0"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15.</w:t>
            </w:r>
            <w:r w:rsidR="009042CD">
              <w:rPr>
                <w:rFonts w:ascii="Calibri" w:eastAsia="Times New Roman" w:hAnsi="Calibri" w:cs="Calibri"/>
                <w:b/>
                <w:bCs/>
                <w:kern w:val="0"/>
                <w:sz w:val="24"/>
                <w:szCs w:val="24"/>
                <w:lang w:eastAsia="en-IN"/>
                <w14:ligatures w14:val="none"/>
              </w:rPr>
              <w:t>1</w:t>
            </w:r>
          </w:p>
        </w:tc>
        <w:tc>
          <w:tcPr>
            <w:tcW w:w="5916" w:type="dxa"/>
          </w:tcPr>
          <w:p w14:paraId="2DE20425" w14:textId="4192C471" w:rsidR="00500251" w:rsidRPr="00C817A4" w:rsidRDefault="00623593" w:rsidP="007B0A75">
            <w:pPr>
              <w:jc w:val="both"/>
              <w:outlineLvl w:val="1"/>
              <w:rPr>
                <w:rFonts w:ascii="Calibri" w:eastAsia="Times New Roman" w:hAnsi="Calibri" w:cs="Calibri"/>
                <w:b/>
                <w:bCs/>
                <w:color w:val="262626" w:themeColor="text1" w:themeTint="D9"/>
                <w:kern w:val="0"/>
                <w:sz w:val="24"/>
                <w:szCs w:val="24"/>
                <w:lang w:eastAsia="en-IN"/>
                <w14:ligatures w14:val="none"/>
              </w:rPr>
            </w:pPr>
            <w:r w:rsidRPr="00C817A4">
              <w:rPr>
                <w:rFonts w:ascii="Calibri" w:hAnsi="Calibri" w:cs="Calibri"/>
                <w:color w:val="262626" w:themeColor="text1" w:themeTint="D9"/>
                <w:kern w:val="0"/>
                <w:sz w:val="24"/>
                <w:szCs w:val="24"/>
                <w:shd w:val="clear" w:color="auto" w:fill="FFFFFF"/>
              </w:rPr>
              <w:t xml:space="preserve">Schedule of analysts or institutional Investors </w:t>
            </w:r>
            <w:proofErr w:type="gramStart"/>
            <w:r w:rsidRPr="00C817A4">
              <w:rPr>
                <w:rFonts w:ascii="Calibri" w:hAnsi="Calibri" w:cs="Calibri"/>
                <w:color w:val="262626" w:themeColor="text1" w:themeTint="D9"/>
                <w:kern w:val="0"/>
                <w:sz w:val="24"/>
                <w:szCs w:val="24"/>
                <w:shd w:val="clear" w:color="auto" w:fill="FFFFFF"/>
              </w:rPr>
              <w:t>meet</w:t>
            </w:r>
            <w:proofErr w:type="gramEnd"/>
            <w:r w:rsidRPr="00C817A4">
              <w:rPr>
                <w:rFonts w:ascii="Calibri" w:hAnsi="Calibri" w:cs="Calibri"/>
                <w:color w:val="262626" w:themeColor="text1" w:themeTint="D9"/>
                <w:kern w:val="0"/>
                <w:sz w:val="24"/>
                <w:szCs w:val="24"/>
                <w:shd w:val="clear" w:color="auto" w:fill="FFFFFF"/>
              </w:rPr>
              <w:t xml:space="preserve"> and presentations made by the listed entity to analysts or institutional investors.</w:t>
            </w:r>
          </w:p>
        </w:tc>
        <w:tc>
          <w:tcPr>
            <w:tcW w:w="4075" w:type="dxa"/>
          </w:tcPr>
          <w:p w14:paraId="40D0E7D1" w14:textId="6549692F"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18" w:history="1">
              <w:r w:rsidR="00AC0AC9" w:rsidRPr="00C817A4">
                <w:rPr>
                  <w:rStyle w:val="Hyperlink"/>
                  <w:rFonts w:ascii="Calibri" w:eastAsia="Times New Roman" w:hAnsi="Calibri" w:cs="Calibri"/>
                  <w:kern w:val="0"/>
                  <w:sz w:val="24"/>
                  <w:szCs w:val="24"/>
                  <w:lang w:eastAsia="en-IN"/>
                  <w14:ligatures w14:val="none"/>
                </w:rPr>
                <w:t>https://www.transpek.com/financial-results/</w:t>
              </w:r>
            </w:hyperlink>
          </w:p>
          <w:p w14:paraId="52C5C0EE" w14:textId="4233B5D2"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9042CD" w:rsidRPr="00C817A4" w14:paraId="4ADFE907" w14:textId="77777777" w:rsidTr="00C324AA">
        <w:trPr>
          <w:trHeight w:val="340"/>
        </w:trPr>
        <w:tc>
          <w:tcPr>
            <w:tcW w:w="636" w:type="dxa"/>
          </w:tcPr>
          <w:p w14:paraId="00F3D93B" w14:textId="54C56838" w:rsidR="009042CD" w:rsidRDefault="009042CD"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15.2</w:t>
            </w:r>
          </w:p>
        </w:tc>
        <w:tc>
          <w:tcPr>
            <w:tcW w:w="5916" w:type="dxa"/>
          </w:tcPr>
          <w:p w14:paraId="25E153C6" w14:textId="2A8E5125" w:rsidR="009042CD" w:rsidRPr="00C817A4" w:rsidRDefault="009042CD" w:rsidP="007B0A75">
            <w:pPr>
              <w:jc w:val="both"/>
              <w:outlineLvl w:val="1"/>
              <w:rPr>
                <w:rFonts w:ascii="Calibri" w:hAnsi="Calibri" w:cs="Calibri"/>
                <w:color w:val="262626" w:themeColor="text1" w:themeTint="D9"/>
                <w:kern w:val="0"/>
                <w:sz w:val="24"/>
                <w:szCs w:val="24"/>
                <w:shd w:val="clear" w:color="auto" w:fill="FFFFFF"/>
              </w:rPr>
            </w:pPr>
            <w:r>
              <w:rPr>
                <w:rFonts w:ascii="Calibri" w:hAnsi="Calibri" w:cs="Calibri"/>
                <w:color w:val="262626" w:themeColor="text1" w:themeTint="D9"/>
                <w:kern w:val="0"/>
                <w:sz w:val="24"/>
                <w:szCs w:val="24"/>
                <w:shd w:val="clear" w:color="auto" w:fill="FFFFFF"/>
              </w:rPr>
              <w:t>Audio or video recordings and transcripts of post earnings/quarterly calls</w:t>
            </w:r>
          </w:p>
        </w:tc>
        <w:tc>
          <w:tcPr>
            <w:tcW w:w="4075" w:type="dxa"/>
          </w:tcPr>
          <w:p w14:paraId="6D6E349A" w14:textId="77777777" w:rsidR="009042CD" w:rsidRDefault="0084590B" w:rsidP="0084590B">
            <w:pPr>
              <w:jc w:val="both"/>
              <w:outlineLvl w:val="1"/>
              <w:rPr>
                <w:rStyle w:val="Hyperlink"/>
                <w:rFonts w:ascii="Calibri" w:eastAsia="Times New Roman" w:hAnsi="Calibri" w:cs="Calibri"/>
                <w:kern w:val="0"/>
                <w:sz w:val="24"/>
                <w:szCs w:val="24"/>
                <w:lang w:eastAsia="en-IN"/>
                <w14:ligatures w14:val="none"/>
              </w:rPr>
            </w:pPr>
            <w:hyperlink r:id="rId19" w:history="1">
              <w:r w:rsidRPr="00C817A4">
                <w:rPr>
                  <w:rStyle w:val="Hyperlink"/>
                  <w:rFonts w:ascii="Calibri" w:eastAsia="Times New Roman" w:hAnsi="Calibri" w:cs="Calibri"/>
                  <w:kern w:val="0"/>
                  <w:sz w:val="24"/>
                  <w:szCs w:val="24"/>
                  <w:lang w:eastAsia="en-IN"/>
                  <w14:ligatures w14:val="none"/>
                </w:rPr>
                <w:t>https://www.transpek.com/financial-results/</w:t>
              </w:r>
            </w:hyperlink>
          </w:p>
          <w:p w14:paraId="50579445" w14:textId="2E85A418" w:rsidR="0084590B" w:rsidRPr="0084590B" w:rsidRDefault="0084590B" w:rsidP="0084590B">
            <w:pPr>
              <w:jc w:val="both"/>
              <w:outlineLvl w:val="1"/>
              <w:rPr>
                <w:rFonts w:ascii="Calibri" w:eastAsia="Times New Roman" w:hAnsi="Calibri" w:cs="Calibri"/>
                <w:kern w:val="0"/>
                <w:sz w:val="24"/>
                <w:szCs w:val="24"/>
                <w:lang w:eastAsia="en-IN"/>
                <w14:ligatures w14:val="none"/>
              </w:rPr>
            </w:pPr>
          </w:p>
        </w:tc>
      </w:tr>
      <w:tr w:rsidR="00C324AA" w:rsidRPr="00C817A4" w14:paraId="57340C11" w14:textId="77777777" w:rsidTr="00C324AA">
        <w:trPr>
          <w:trHeight w:val="340"/>
        </w:trPr>
        <w:tc>
          <w:tcPr>
            <w:tcW w:w="636" w:type="dxa"/>
          </w:tcPr>
          <w:p w14:paraId="69E9DFF0" w14:textId="6AD74909"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16.</w:t>
            </w:r>
          </w:p>
        </w:tc>
        <w:tc>
          <w:tcPr>
            <w:tcW w:w="5916" w:type="dxa"/>
          </w:tcPr>
          <w:p w14:paraId="4C40E81B" w14:textId="023B315A"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new name and the old name of the listed entity for a continuous period of one year, from the date of the last name change;</w:t>
            </w:r>
          </w:p>
        </w:tc>
        <w:tc>
          <w:tcPr>
            <w:tcW w:w="4075" w:type="dxa"/>
          </w:tcPr>
          <w:p w14:paraId="71153F8E" w14:textId="0155DA6A" w:rsidR="00500251" w:rsidRPr="00C817A4" w:rsidRDefault="00AC0AC9" w:rsidP="00507879">
            <w:pPr>
              <w:jc w:val="both"/>
              <w:outlineLvl w:val="1"/>
              <w:rPr>
                <w:rFonts w:ascii="Calibri" w:eastAsia="Times New Roman" w:hAnsi="Calibri" w:cs="Calibri"/>
                <w:kern w:val="0"/>
                <w:sz w:val="24"/>
                <w:szCs w:val="24"/>
                <w:lang w:eastAsia="en-IN"/>
                <w14:ligatures w14:val="none"/>
              </w:rPr>
            </w:pPr>
            <w:r w:rsidRPr="00C817A4">
              <w:rPr>
                <w:rFonts w:ascii="Calibri" w:eastAsia="Times New Roman" w:hAnsi="Calibri" w:cs="Calibri"/>
                <w:kern w:val="0"/>
                <w:sz w:val="24"/>
                <w:szCs w:val="24"/>
                <w:lang w:eastAsia="en-IN"/>
                <w14:ligatures w14:val="none"/>
              </w:rPr>
              <w:t>NA</w:t>
            </w:r>
          </w:p>
        </w:tc>
      </w:tr>
      <w:tr w:rsidR="00C324AA" w:rsidRPr="00C817A4" w14:paraId="6315FD87" w14:textId="77777777" w:rsidTr="00C324AA">
        <w:trPr>
          <w:trHeight w:val="340"/>
        </w:trPr>
        <w:tc>
          <w:tcPr>
            <w:tcW w:w="636" w:type="dxa"/>
          </w:tcPr>
          <w:p w14:paraId="02BFCE28" w14:textId="25200F58"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17.</w:t>
            </w:r>
          </w:p>
        </w:tc>
        <w:tc>
          <w:tcPr>
            <w:tcW w:w="5916" w:type="dxa"/>
          </w:tcPr>
          <w:p w14:paraId="4A2D296A" w14:textId="6B66C945" w:rsidR="007B0A75" w:rsidRPr="007B0A75" w:rsidRDefault="0084590B" w:rsidP="001931E6">
            <w:pPr>
              <w:shd w:val="clear" w:color="auto" w:fill="FFFFFF"/>
              <w:ind w:hanging="15"/>
              <w:jc w:val="both"/>
              <w:textAlignment w:val="baseline"/>
              <w:rPr>
                <w:rFonts w:ascii="Calibri" w:eastAsia="Times New Roman" w:hAnsi="Calibri" w:cs="Calibri"/>
                <w:color w:val="262626" w:themeColor="text1" w:themeTint="D9"/>
                <w:kern w:val="0"/>
                <w:sz w:val="24"/>
                <w:szCs w:val="24"/>
                <w:lang w:eastAsia="en-IN"/>
                <w14:ligatures w14:val="none"/>
              </w:rPr>
            </w:pPr>
            <w:r>
              <w:rPr>
                <w:rFonts w:ascii="Calibri" w:eastAsia="Times New Roman" w:hAnsi="Calibri" w:cs="Calibri"/>
                <w:color w:val="262626" w:themeColor="text1" w:themeTint="D9"/>
                <w:kern w:val="0"/>
                <w:sz w:val="24"/>
                <w:szCs w:val="24"/>
                <w:shd w:val="clear" w:color="auto" w:fill="FFFFFF"/>
                <w:lang w:eastAsia="en-IN"/>
                <w14:ligatures w14:val="none"/>
              </w:rPr>
              <w:t>Advertisements as per Regulation 47(1)</w:t>
            </w:r>
          </w:p>
          <w:p w14:paraId="1354902D" w14:textId="5B482D37" w:rsidR="00500251" w:rsidRPr="00C817A4" w:rsidRDefault="00500251" w:rsidP="007B0A75">
            <w:pPr>
              <w:jc w:val="both"/>
              <w:outlineLvl w:val="1"/>
              <w:rPr>
                <w:rFonts w:ascii="Calibri" w:hAnsi="Calibri" w:cs="Calibri"/>
                <w:color w:val="262626" w:themeColor="text1" w:themeTint="D9"/>
                <w:kern w:val="0"/>
                <w:sz w:val="24"/>
                <w:szCs w:val="24"/>
                <w:shd w:val="clear" w:color="auto" w:fill="FFFFFF"/>
              </w:rPr>
            </w:pPr>
          </w:p>
        </w:tc>
        <w:tc>
          <w:tcPr>
            <w:tcW w:w="4075" w:type="dxa"/>
          </w:tcPr>
          <w:p w14:paraId="22BC53FC" w14:textId="246B195D"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0" w:history="1">
              <w:r w:rsidR="00AC0AC9"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2E2BD84E" w14:textId="7DE5303F"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5958078F" w14:textId="77777777" w:rsidTr="00C324AA">
        <w:trPr>
          <w:trHeight w:val="340"/>
        </w:trPr>
        <w:tc>
          <w:tcPr>
            <w:tcW w:w="636" w:type="dxa"/>
          </w:tcPr>
          <w:p w14:paraId="5DAC1209" w14:textId="69C7A452"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18.</w:t>
            </w:r>
          </w:p>
        </w:tc>
        <w:tc>
          <w:tcPr>
            <w:tcW w:w="5916" w:type="dxa"/>
          </w:tcPr>
          <w:p w14:paraId="2D3CD5FC" w14:textId="417EC8FD" w:rsidR="00500251" w:rsidRPr="00C817A4" w:rsidRDefault="00623593"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All credit ratings obtained by the entity for all its outstanding instruments, updated immediately as and when there is any revision in any of the ratings</w:t>
            </w:r>
          </w:p>
        </w:tc>
        <w:tc>
          <w:tcPr>
            <w:tcW w:w="4075" w:type="dxa"/>
          </w:tcPr>
          <w:p w14:paraId="79BF5139" w14:textId="09FF4D2F"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1" w:history="1">
              <w:r w:rsidR="00AC0AC9"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11EA01E9" w14:textId="5FF34736"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1EDD7343" w14:textId="77777777" w:rsidTr="00C324AA">
        <w:trPr>
          <w:trHeight w:val="340"/>
        </w:trPr>
        <w:tc>
          <w:tcPr>
            <w:tcW w:w="636" w:type="dxa"/>
          </w:tcPr>
          <w:p w14:paraId="2126D078" w14:textId="7CE8BFEF"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19.</w:t>
            </w:r>
          </w:p>
        </w:tc>
        <w:tc>
          <w:tcPr>
            <w:tcW w:w="5916" w:type="dxa"/>
          </w:tcPr>
          <w:p w14:paraId="69184510" w14:textId="49C286D2" w:rsidR="00500251" w:rsidRPr="00C817A4" w:rsidRDefault="00534015" w:rsidP="007B0A75">
            <w:pPr>
              <w:jc w:val="both"/>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Separate audited financial statements of each subsidiary of the listed entity in respect of a relevant financial year</w:t>
            </w:r>
          </w:p>
        </w:tc>
        <w:tc>
          <w:tcPr>
            <w:tcW w:w="4075" w:type="dxa"/>
          </w:tcPr>
          <w:p w14:paraId="78AF2226" w14:textId="46BA1121"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2" w:history="1">
              <w:r w:rsidR="00AC0AC9" w:rsidRPr="00C817A4">
                <w:rPr>
                  <w:rStyle w:val="Hyperlink"/>
                  <w:rFonts w:ascii="Calibri" w:eastAsia="Times New Roman" w:hAnsi="Calibri" w:cs="Calibri"/>
                  <w:kern w:val="0"/>
                  <w:sz w:val="24"/>
                  <w:szCs w:val="24"/>
                  <w:lang w:eastAsia="en-IN"/>
                  <w14:ligatures w14:val="none"/>
                </w:rPr>
                <w:t>https://www.transpek.com/financial-results/</w:t>
              </w:r>
            </w:hyperlink>
          </w:p>
          <w:p w14:paraId="631E5CDD" w14:textId="01EC9CB5"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3545DD5C" w14:textId="77777777" w:rsidTr="00C324AA">
        <w:trPr>
          <w:trHeight w:val="340"/>
        </w:trPr>
        <w:tc>
          <w:tcPr>
            <w:tcW w:w="636" w:type="dxa"/>
          </w:tcPr>
          <w:p w14:paraId="309B972D" w14:textId="5E5E9B2C"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20.</w:t>
            </w:r>
          </w:p>
        </w:tc>
        <w:tc>
          <w:tcPr>
            <w:tcW w:w="5916" w:type="dxa"/>
          </w:tcPr>
          <w:p w14:paraId="5C0357E9" w14:textId="420A52A3" w:rsidR="00500251" w:rsidRPr="00C817A4" w:rsidRDefault="001931E6" w:rsidP="00623593">
            <w:pPr>
              <w:outlineLvl w:val="1"/>
              <w:rPr>
                <w:rFonts w:ascii="Calibri" w:eastAsia="Times New Roman" w:hAnsi="Calibri" w:cs="Calibri"/>
                <w:b/>
                <w:bCs/>
                <w:color w:val="262626" w:themeColor="text1" w:themeTint="D9"/>
                <w:kern w:val="0"/>
                <w:sz w:val="24"/>
                <w:szCs w:val="24"/>
                <w:lang w:eastAsia="en-IN"/>
                <w14:ligatures w14:val="none"/>
              </w:rPr>
            </w:pPr>
            <w:r w:rsidRPr="00C817A4">
              <w:rPr>
                <w:rFonts w:ascii="Calibri" w:hAnsi="Calibri" w:cs="Calibri"/>
                <w:color w:val="262626" w:themeColor="text1" w:themeTint="D9"/>
                <w:kern w:val="0"/>
                <w:sz w:val="24"/>
                <w:szCs w:val="24"/>
                <w:shd w:val="clear" w:color="auto" w:fill="FFFFFF"/>
              </w:rPr>
              <w:t> Secretarial compliance report</w:t>
            </w:r>
          </w:p>
        </w:tc>
        <w:tc>
          <w:tcPr>
            <w:tcW w:w="4075" w:type="dxa"/>
          </w:tcPr>
          <w:p w14:paraId="5F2AD6EF" w14:textId="5C39C134"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3" w:history="1">
              <w:r w:rsidR="00AC0AC9"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07507930" w14:textId="0014CE40" w:rsidR="00AC0AC9" w:rsidRPr="00C817A4" w:rsidRDefault="00AC0AC9" w:rsidP="00507879">
            <w:pPr>
              <w:jc w:val="both"/>
              <w:outlineLvl w:val="1"/>
              <w:rPr>
                <w:rFonts w:ascii="Calibri" w:eastAsia="Times New Roman" w:hAnsi="Calibri" w:cs="Calibri"/>
                <w:kern w:val="0"/>
                <w:sz w:val="24"/>
                <w:szCs w:val="24"/>
                <w:lang w:eastAsia="en-IN"/>
                <w14:ligatures w14:val="none"/>
              </w:rPr>
            </w:pPr>
          </w:p>
        </w:tc>
      </w:tr>
      <w:tr w:rsidR="00C324AA" w:rsidRPr="00C817A4" w14:paraId="0C2F0FB7" w14:textId="77777777" w:rsidTr="00C324AA">
        <w:trPr>
          <w:trHeight w:val="340"/>
        </w:trPr>
        <w:tc>
          <w:tcPr>
            <w:tcW w:w="636" w:type="dxa"/>
          </w:tcPr>
          <w:p w14:paraId="5449F1BB" w14:textId="6AD93E32"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21.</w:t>
            </w:r>
          </w:p>
        </w:tc>
        <w:tc>
          <w:tcPr>
            <w:tcW w:w="5916" w:type="dxa"/>
          </w:tcPr>
          <w:p w14:paraId="33CB6E92" w14:textId="112BC4C5" w:rsidR="00500251" w:rsidRPr="00C817A4" w:rsidRDefault="001931E6" w:rsidP="00623593">
            <w:pPr>
              <w:outlineLvl w:val="1"/>
              <w:rPr>
                <w:rFonts w:ascii="Calibri" w:eastAsia="Times New Roman" w:hAnsi="Calibri" w:cs="Calibri"/>
                <w:b/>
                <w:bCs/>
                <w:color w:val="262626" w:themeColor="text1" w:themeTint="D9"/>
                <w:kern w:val="0"/>
                <w:sz w:val="24"/>
                <w:szCs w:val="24"/>
                <w:lang w:eastAsia="en-IN"/>
                <w14:ligatures w14:val="none"/>
              </w:rPr>
            </w:pPr>
            <w:r w:rsidRPr="00C817A4">
              <w:rPr>
                <w:rFonts w:ascii="Calibri" w:hAnsi="Calibri" w:cs="Calibri"/>
                <w:color w:val="262626" w:themeColor="text1" w:themeTint="D9"/>
                <w:kern w:val="0"/>
                <w:sz w:val="24"/>
                <w:szCs w:val="24"/>
                <w:shd w:val="clear" w:color="auto" w:fill="FFFFFF"/>
              </w:rPr>
              <w:t>Disclosure of the Policy for determination of materiality of events or information</w:t>
            </w:r>
          </w:p>
        </w:tc>
        <w:tc>
          <w:tcPr>
            <w:tcW w:w="4075" w:type="dxa"/>
          </w:tcPr>
          <w:p w14:paraId="62F6C270" w14:textId="0D83BC81"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4" w:history="1">
              <w:r w:rsidR="00F8510D"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1E5DB680" w14:textId="117FABDE" w:rsidR="00F8510D" w:rsidRPr="00C817A4" w:rsidRDefault="00F8510D" w:rsidP="00507879">
            <w:pPr>
              <w:jc w:val="both"/>
              <w:outlineLvl w:val="1"/>
              <w:rPr>
                <w:rFonts w:ascii="Calibri" w:eastAsia="Times New Roman" w:hAnsi="Calibri" w:cs="Calibri"/>
                <w:kern w:val="0"/>
                <w:sz w:val="24"/>
                <w:szCs w:val="24"/>
                <w:lang w:eastAsia="en-IN"/>
                <w14:ligatures w14:val="none"/>
              </w:rPr>
            </w:pPr>
          </w:p>
        </w:tc>
      </w:tr>
      <w:tr w:rsidR="00C324AA" w:rsidRPr="00C817A4" w14:paraId="57E18B70" w14:textId="77777777" w:rsidTr="00C324AA">
        <w:trPr>
          <w:trHeight w:val="340"/>
        </w:trPr>
        <w:tc>
          <w:tcPr>
            <w:tcW w:w="636" w:type="dxa"/>
          </w:tcPr>
          <w:p w14:paraId="047A9056" w14:textId="102A9AA7"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22.</w:t>
            </w:r>
          </w:p>
        </w:tc>
        <w:tc>
          <w:tcPr>
            <w:tcW w:w="5916" w:type="dxa"/>
          </w:tcPr>
          <w:p w14:paraId="6CFFF733" w14:textId="684CDF08" w:rsidR="00500251" w:rsidRPr="00C817A4" w:rsidRDefault="001931E6" w:rsidP="00623593">
            <w:pPr>
              <w:outlineLvl w:val="1"/>
              <w:rPr>
                <w:rFonts w:ascii="Calibri" w:eastAsia="Times New Roman" w:hAnsi="Calibri" w:cs="Calibri"/>
                <w:b/>
                <w:bCs/>
                <w:color w:val="262626" w:themeColor="text1" w:themeTint="D9"/>
                <w:kern w:val="0"/>
                <w:sz w:val="24"/>
                <w:szCs w:val="24"/>
                <w:lang w:eastAsia="en-IN"/>
                <w14:ligatures w14:val="none"/>
              </w:rPr>
            </w:pPr>
            <w:r w:rsidRPr="00C817A4">
              <w:rPr>
                <w:rFonts w:ascii="Calibri" w:hAnsi="Calibri" w:cs="Calibri"/>
                <w:color w:val="262626" w:themeColor="text1" w:themeTint="D9"/>
                <w:kern w:val="0"/>
                <w:sz w:val="24"/>
                <w:szCs w:val="24"/>
                <w:shd w:val="clear" w:color="auto" w:fill="FFFFFF"/>
              </w:rPr>
              <w:t>Disclosure of contact details of Key Managerial Personnel who are authorised for the purpose of determining materiality of an event or information and for the purpose of making disclosures to stock exchange(s)</w:t>
            </w:r>
          </w:p>
        </w:tc>
        <w:tc>
          <w:tcPr>
            <w:tcW w:w="4075" w:type="dxa"/>
          </w:tcPr>
          <w:p w14:paraId="0B7A3A99" w14:textId="1BC3699E"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5" w:history="1">
              <w:r w:rsidR="00F8510D" w:rsidRPr="00C817A4">
                <w:rPr>
                  <w:rStyle w:val="Hyperlink"/>
                  <w:rFonts w:ascii="Calibri" w:eastAsia="Times New Roman" w:hAnsi="Calibri" w:cs="Calibri"/>
                  <w:kern w:val="0"/>
                  <w:sz w:val="24"/>
                  <w:szCs w:val="24"/>
                  <w:lang w:eastAsia="en-IN"/>
                  <w14:ligatures w14:val="none"/>
                </w:rPr>
                <w:t>https://www.transpek.com/wp-content/uploads/2023/02/KMP-Authorisation.pdf</w:t>
              </w:r>
            </w:hyperlink>
          </w:p>
          <w:p w14:paraId="32BB5611" w14:textId="536AB0A2" w:rsidR="00F8510D" w:rsidRPr="00C817A4" w:rsidRDefault="00F8510D" w:rsidP="00507879">
            <w:pPr>
              <w:jc w:val="both"/>
              <w:outlineLvl w:val="1"/>
              <w:rPr>
                <w:rFonts w:ascii="Calibri" w:eastAsia="Times New Roman" w:hAnsi="Calibri" w:cs="Calibri"/>
                <w:kern w:val="0"/>
                <w:sz w:val="24"/>
                <w:szCs w:val="24"/>
                <w:lang w:eastAsia="en-IN"/>
                <w14:ligatures w14:val="none"/>
              </w:rPr>
            </w:pPr>
          </w:p>
        </w:tc>
      </w:tr>
      <w:tr w:rsidR="00C324AA" w:rsidRPr="00C817A4" w14:paraId="0CF4F7F0" w14:textId="77777777" w:rsidTr="00C324AA">
        <w:trPr>
          <w:trHeight w:val="340"/>
        </w:trPr>
        <w:tc>
          <w:tcPr>
            <w:tcW w:w="636" w:type="dxa"/>
          </w:tcPr>
          <w:p w14:paraId="02AF298C" w14:textId="20F85D14"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23.</w:t>
            </w:r>
          </w:p>
        </w:tc>
        <w:tc>
          <w:tcPr>
            <w:tcW w:w="5916" w:type="dxa"/>
          </w:tcPr>
          <w:p w14:paraId="14D99BE1" w14:textId="7830F275" w:rsidR="00500251" w:rsidRPr="00C817A4" w:rsidRDefault="0084590B" w:rsidP="00623593">
            <w:pPr>
              <w:outlineLvl w:val="1"/>
              <w:rPr>
                <w:rFonts w:ascii="Calibri" w:eastAsia="Times New Roman" w:hAnsi="Calibri" w:cs="Calibri"/>
                <w:b/>
                <w:bCs/>
                <w:color w:val="262626" w:themeColor="text1" w:themeTint="D9"/>
                <w:kern w:val="0"/>
                <w:sz w:val="24"/>
                <w:szCs w:val="24"/>
                <w:lang w:eastAsia="en-IN"/>
                <w14:ligatures w14:val="none"/>
              </w:rPr>
            </w:pPr>
            <w:r>
              <w:rPr>
                <w:rFonts w:ascii="Calibri" w:hAnsi="Calibri" w:cs="Calibri"/>
                <w:color w:val="262626" w:themeColor="text1" w:themeTint="D9"/>
                <w:kern w:val="0"/>
                <w:sz w:val="24"/>
                <w:szCs w:val="24"/>
                <w:shd w:val="clear" w:color="auto" w:fill="FFFFFF"/>
              </w:rPr>
              <w:t>Disclosures under Regulation 30(8)</w:t>
            </w:r>
          </w:p>
        </w:tc>
        <w:tc>
          <w:tcPr>
            <w:tcW w:w="4075" w:type="dxa"/>
          </w:tcPr>
          <w:p w14:paraId="55FC0FA6" w14:textId="42BE03C2" w:rsidR="00500251" w:rsidRPr="00C817A4" w:rsidRDefault="0084590B" w:rsidP="00507879">
            <w:pPr>
              <w:jc w:val="both"/>
              <w:outlineLvl w:val="1"/>
              <w:rPr>
                <w:rFonts w:ascii="Calibri" w:eastAsia="Times New Roman" w:hAnsi="Calibri" w:cs="Calibri"/>
                <w:kern w:val="0"/>
                <w:sz w:val="24"/>
                <w:szCs w:val="24"/>
                <w:lang w:eastAsia="en-IN"/>
                <w14:ligatures w14:val="none"/>
              </w:rPr>
            </w:pPr>
            <w:hyperlink r:id="rId26" w:history="1">
              <w:r w:rsidR="00F8510D"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7B3DCD2C" w14:textId="14E4CDD3" w:rsidR="00F8510D" w:rsidRPr="00C817A4" w:rsidRDefault="00F8510D" w:rsidP="00507879">
            <w:pPr>
              <w:jc w:val="both"/>
              <w:outlineLvl w:val="1"/>
              <w:rPr>
                <w:rFonts w:ascii="Calibri" w:eastAsia="Times New Roman" w:hAnsi="Calibri" w:cs="Calibri"/>
                <w:kern w:val="0"/>
                <w:sz w:val="24"/>
                <w:szCs w:val="24"/>
                <w:lang w:eastAsia="en-IN"/>
                <w14:ligatures w14:val="none"/>
              </w:rPr>
            </w:pPr>
          </w:p>
        </w:tc>
      </w:tr>
      <w:tr w:rsidR="00C324AA" w:rsidRPr="00C817A4" w14:paraId="592EC3F0" w14:textId="77777777" w:rsidTr="00C324AA">
        <w:trPr>
          <w:trHeight w:val="340"/>
        </w:trPr>
        <w:tc>
          <w:tcPr>
            <w:tcW w:w="636" w:type="dxa"/>
          </w:tcPr>
          <w:p w14:paraId="2CD87BD8" w14:textId="5F1C1CDD" w:rsidR="00500251"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24.</w:t>
            </w:r>
          </w:p>
        </w:tc>
        <w:tc>
          <w:tcPr>
            <w:tcW w:w="5916" w:type="dxa"/>
          </w:tcPr>
          <w:p w14:paraId="0813D627" w14:textId="5A20A342" w:rsidR="00500251" w:rsidRPr="00C817A4" w:rsidRDefault="001931E6" w:rsidP="00623593">
            <w:pPr>
              <w:outlineLvl w:val="1"/>
              <w:rPr>
                <w:rFonts w:ascii="Calibri" w:eastAsia="Times New Roman" w:hAnsi="Calibri" w:cs="Calibri"/>
                <w:b/>
                <w:bCs/>
                <w:color w:val="262626" w:themeColor="text1" w:themeTint="D9"/>
                <w:kern w:val="0"/>
                <w:sz w:val="24"/>
                <w:szCs w:val="24"/>
                <w:lang w:eastAsia="en-IN"/>
                <w14:ligatures w14:val="none"/>
              </w:rPr>
            </w:pPr>
            <w:r w:rsidRPr="00C817A4">
              <w:rPr>
                <w:rFonts w:ascii="Calibri" w:hAnsi="Calibri" w:cs="Calibri"/>
                <w:color w:val="262626" w:themeColor="text1" w:themeTint="D9"/>
                <w:kern w:val="0"/>
                <w:sz w:val="24"/>
                <w:szCs w:val="24"/>
                <w:shd w:val="clear" w:color="auto" w:fill="FFFFFF"/>
              </w:rPr>
              <w:t>Statements of deviation(s) or variation(s)</w:t>
            </w:r>
          </w:p>
        </w:tc>
        <w:tc>
          <w:tcPr>
            <w:tcW w:w="4075" w:type="dxa"/>
          </w:tcPr>
          <w:p w14:paraId="7C0B50FC" w14:textId="3A657655" w:rsidR="00500251" w:rsidRPr="00C817A4" w:rsidRDefault="00F8510D" w:rsidP="00507879">
            <w:pPr>
              <w:jc w:val="both"/>
              <w:outlineLvl w:val="1"/>
              <w:rPr>
                <w:rFonts w:ascii="Calibri" w:eastAsia="Times New Roman" w:hAnsi="Calibri" w:cs="Calibri"/>
                <w:kern w:val="0"/>
                <w:sz w:val="24"/>
                <w:szCs w:val="24"/>
                <w:lang w:eastAsia="en-IN"/>
                <w14:ligatures w14:val="none"/>
              </w:rPr>
            </w:pPr>
            <w:r w:rsidRPr="00C817A4">
              <w:rPr>
                <w:rFonts w:ascii="Calibri" w:eastAsia="Times New Roman" w:hAnsi="Calibri" w:cs="Calibri"/>
                <w:kern w:val="0"/>
                <w:sz w:val="24"/>
                <w:szCs w:val="24"/>
                <w:lang w:eastAsia="en-IN"/>
                <w14:ligatures w14:val="none"/>
              </w:rPr>
              <w:t>NA</w:t>
            </w:r>
          </w:p>
        </w:tc>
      </w:tr>
      <w:tr w:rsidR="00C324AA" w:rsidRPr="00C817A4" w14:paraId="5CB97405" w14:textId="77777777" w:rsidTr="00C324AA">
        <w:trPr>
          <w:trHeight w:val="340"/>
        </w:trPr>
        <w:tc>
          <w:tcPr>
            <w:tcW w:w="636" w:type="dxa"/>
          </w:tcPr>
          <w:p w14:paraId="606BB89E" w14:textId="0CFD8D76" w:rsidR="001931E6"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lastRenderedPageBreak/>
              <w:t>25.</w:t>
            </w:r>
          </w:p>
        </w:tc>
        <w:tc>
          <w:tcPr>
            <w:tcW w:w="5916" w:type="dxa"/>
          </w:tcPr>
          <w:p w14:paraId="1F96653C" w14:textId="559C2DAA" w:rsidR="001931E6" w:rsidRPr="00C817A4" w:rsidRDefault="001931E6" w:rsidP="00623593">
            <w:pPr>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Dividend Distribution Policy by listed entities based on market capitalization</w:t>
            </w:r>
          </w:p>
        </w:tc>
        <w:tc>
          <w:tcPr>
            <w:tcW w:w="4075" w:type="dxa"/>
          </w:tcPr>
          <w:p w14:paraId="0EA8B85C" w14:textId="2E0EDE8B" w:rsidR="001931E6" w:rsidRPr="00C817A4" w:rsidRDefault="0084590B" w:rsidP="00507879">
            <w:pPr>
              <w:jc w:val="both"/>
              <w:outlineLvl w:val="1"/>
              <w:rPr>
                <w:rFonts w:ascii="Calibri" w:eastAsia="Times New Roman" w:hAnsi="Calibri" w:cs="Calibri"/>
                <w:kern w:val="0"/>
                <w:sz w:val="24"/>
                <w:szCs w:val="24"/>
                <w:lang w:eastAsia="en-IN"/>
                <w14:ligatures w14:val="none"/>
              </w:rPr>
            </w:pPr>
            <w:hyperlink r:id="rId27" w:history="1">
              <w:r w:rsidR="00F8510D"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67B66E7C" w14:textId="54A1C395" w:rsidR="00F8510D" w:rsidRPr="00C817A4" w:rsidRDefault="00F8510D" w:rsidP="00507879">
            <w:pPr>
              <w:jc w:val="both"/>
              <w:outlineLvl w:val="1"/>
              <w:rPr>
                <w:rFonts w:ascii="Calibri" w:eastAsia="Times New Roman" w:hAnsi="Calibri" w:cs="Calibri"/>
                <w:kern w:val="0"/>
                <w:sz w:val="24"/>
                <w:szCs w:val="24"/>
                <w:lang w:eastAsia="en-IN"/>
                <w14:ligatures w14:val="none"/>
              </w:rPr>
            </w:pPr>
          </w:p>
        </w:tc>
      </w:tr>
      <w:tr w:rsidR="00C324AA" w:rsidRPr="00C817A4" w14:paraId="3225F37F" w14:textId="77777777" w:rsidTr="00C324AA">
        <w:trPr>
          <w:trHeight w:val="340"/>
        </w:trPr>
        <w:tc>
          <w:tcPr>
            <w:tcW w:w="636" w:type="dxa"/>
          </w:tcPr>
          <w:p w14:paraId="7C10F18E" w14:textId="5881A92F" w:rsidR="001931E6" w:rsidRPr="00C817A4" w:rsidRDefault="00392C89" w:rsidP="00623593">
            <w:pPr>
              <w:outlineLvl w:val="1"/>
              <w:rPr>
                <w:rFonts w:ascii="Calibri" w:eastAsia="Times New Roman" w:hAnsi="Calibri" w:cs="Calibri"/>
                <w:b/>
                <w:bCs/>
                <w:kern w:val="0"/>
                <w:sz w:val="24"/>
                <w:szCs w:val="24"/>
                <w:lang w:eastAsia="en-IN"/>
                <w14:ligatures w14:val="none"/>
              </w:rPr>
            </w:pPr>
            <w:r>
              <w:rPr>
                <w:rFonts w:ascii="Calibri" w:eastAsia="Times New Roman" w:hAnsi="Calibri" w:cs="Calibri"/>
                <w:b/>
                <w:bCs/>
                <w:kern w:val="0"/>
                <w:sz w:val="24"/>
                <w:szCs w:val="24"/>
                <w:lang w:eastAsia="en-IN"/>
                <w14:ligatures w14:val="none"/>
              </w:rPr>
              <w:t>26.</w:t>
            </w:r>
          </w:p>
        </w:tc>
        <w:tc>
          <w:tcPr>
            <w:tcW w:w="5916" w:type="dxa"/>
          </w:tcPr>
          <w:p w14:paraId="310FDA42" w14:textId="27C071A5" w:rsidR="001931E6" w:rsidRPr="00C817A4" w:rsidRDefault="001931E6" w:rsidP="00623593">
            <w:pPr>
              <w:outlineLvl w:val="1"/>
              <w:rPr>
                <w:rFonts w:ascii="Calibri" w:hAnsi="Calibri" w:cs="Calibri"/>
                <w:color w:val="262626" w:themeColor="text1" w:themeTint="D9"/>
                <w:kern w:val="0"/>
                <w:sz w:val="24"/>
                <w:szCs w:val="24"/>
                <w:shd w:val="clear" w:color="auto" w:fill="FFFFFF"/>
              </w:rPr>
            </w:pPr>
            <w:r w:rsidRPr="00C817A4">
              <w:rPr>
                <w:rFonts w:ascii="Calibri" w:hAnsi="Calibri" w:cs="Calibri"/>
                <w:color w:val="262626" w:themeColor="text1" w:themeTint="D9"/>
                <w:kern w:val="0"/>
                <w:sz w:val="24"/>
                <w:szCs w:val="24"/>
                <w:shd w:val="clear" w:color="auto" w:fill="FFFFFF"/>
              </w:rPr>
              <w:t>Annual Return as provided under Section 92 of the Companies Act, 2013 and the rules made thereunder.</w:t>
            </w:r>
          </w:p>
        </w:tc>
        <w:tc>
          <w:tcPr>
            <w:tcW w:w="4075" w:type="dxa"/>
          </w:tcPr>
          <w:p w14:paraId="1E04577F" w14:textId="4D637B67" w:rsidR="001931E6" w:rsidRPr="00C817A4" w:rsidRDefault="0084590B" w:rsidP="00507879">
            <w:pPr>
              <w:jc w:val="both"/>
              <w:outlineLvl w:val="1"/>
              <w:rPr>
                <w:rFonts w:ascii="Calibri" w:eastAsia="Times New Roman" w:hAnsi="Calibri" w:cs="Calibri"/>
                <w:kern w:val="0"/>
                <w:sz w:val="24"/>
                <w:szCs w:val="24"/>
                <w:lang w:eastAsia="en-IN"/>
                <w14:ligatures w14:val="none"/>
              </w:rPr>
            </w:pPr>
            <w:hyperlink r:id="rId28" w:history="1">
              <w:r w:rsidR="00F8510D" w:rsidRPr="00C817A4">
                <w:rPr>
                  <w:rStyle w:val="Hyperlink"/>
                  <w:rFonts w:ascii="Calibri" w:eastAsia="Times New Roman" w:hAnsi="Calibri" w:cs="Calibri"/>
                  <w:kern w:val="0"/>
                  <w:sz w:val="24"/>
                  <w:szCs w:val="24"/>
                  <w:lang w:eastAsia="en-IN"/>
                  <w14:ligatures w14:val="none"/>
                </w:rPr>
                <w:t>https://www.transpek.com/policies-and-other-information/</w:t>
              </w:r>
            </w:hyperlink>
          </w:p>
          <w:p w14:paraId="4834F19D" w14:textId="3EFA5068" w:rsidR="00F8510D" w:rsidRPr="00C817A4" w:rsidRDefault="00F8510D" w:rsidP="00507879">
            <w:pPr>
              <w:jc w:val="both"/>
              <w:outlineLvl w:val="1"/>
              <w:rPr>
                <w:rFonts w:ascii="Calibri" w:eastAsia="Times New Roman" w:hAnsi="Calibri" w:cs="Calibri"/>
                <w:kern w:val="0"/>
                <w:sz w:val="24"/>
                <w:szCs w:val="24"/>
                <w:lang w:eastAsia="en-IN"/>
                <w14:ligatures w14:val="none"/>
              </w:rPr>
            </w:pPr>
          </w:p>
        </w:tc>
      </w:tr>
    </w:tbl>
    <w:p w14:paraId="33C7373C" w14:textId="77777777" w:rsidR="00500251" w:rsidRPr="00500251" w:rsidRDefault="00500251" w:rsidP="00500251">
      <w:pPr>
        <w:shd w:val="clear" w:color="auto" w:fill="FFFFFF"/>
        <w:spacing w:after="0" w:line="240" w:lineRule="auto"/>
        <w:outlineLvl w:val="1"/>
        <w:rPr>
          <w:rFonts w:ascii="Calibri" w:eastAsia="Times New Roman" w:hAnsi="Calibri" w:cs="Calibri"/>
          <w:b/>
          <w:bCs/>
          <w:kern w:val="0"/>
          <w:sz w:val="31"/>
          <w:szCs w:val="31"/>
          <w:lang w:eastAsia="en-IN"/>
          <w14:ligatures w14:val="none"/>
        </w:rPr>
      </w:pPr>
    </w:p>
    <w:p w14:paraId="2114873C" w14:textId="77777777" w:rsidR="00BD2B02" w:rsidRDefault="00BD2B02" w:rsidP="00500251">
      <w:pPr>
        <w:spacing w:after="0"/>
        <w:rPr>
          <w:lang w:val="en-US"/>
        </w:rPr>
      </w:pPr>
    </w:p>
    <w:p w14:paraId="0AB973E4" w14:textId="77777777" w:rsidR="00500251" w:rsidRDefault="00500251" w:rsidP="00500251">
      <w:pPr>
        <w:spacing w:after="0"/>
        <w:rPr>
          <w:lang w:val="en-US"/>
        </w:rPr>
      </w:pPr>
    </w:p>
    <w:p w14:paraId="119E3E22" w14:textId="77777777" w:rsidR="00500251" w:rsidRDefault="00500251" w:rsidP="00500251">
      <w:pPr>
        <w:spacing w:after="0"/>
        <w:rPr>
          <w:lang w:val="en-US"/>
        </w:rPr>
      </w:pPr>
    </w:p>
    <w:p w14:paraId="011774B1" w14:textId="77777777" w:rsidR="00500251" w:rsidRPr="00500251" w:rsidRDefault="00500251" w:rsidP="00500251">
      <w:pPr>
        <w:spacing w:after="0"/>
        <w:rPr>
          <w:lang w:val="en-US"/>
        </w:rPr>
      </w:pPr>
    </w:p>
    <w:sectPr w:rsidR="00500251" w:rsidRPr="00500251" w:rsidSect="00500251">
      <w:pgSz w:w="11906" w:h="16838" w:code="9"/>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hruti">
    <w:panose1 w:val="02000500000000000000"/>
    <w:charset w:val="00"/>
    <w:family w:val="swiss"/>
    <w:pitch w:val="variable"/>
    <w:sig w:usb0="00040003" w:usb1="00000000" w:usb2="00000000" w:usb3="00000000" w:csb0="00000001"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91DEC"/>
    <w:multiLevelType w:val="hybridMultilevel"/>
    <w:tmpl w:val="443E4D2C"/>
    <w:lvl w:ilvl="0" w:tplc="3AE24026">
      <w:start w:val="1"/>
      <w:numFmt w:val="lowerRoman"/>
      <w:lvlText w:val="(%1)"/>
      <w:lvlJc w:val="left"/>
      <w:pPr>
        <w:ind w:left="1000" w:hanging="720"/>
      </w:pPr>
      <w:rPr>
        <w:rFonts w:hint="default"/>
      </w:rPr>
    </w:lvl>
    <w:lvl w:ilvl="1" w:tplc="40090019" w:tentative="1">
      <w:start w:val="1"/>
      <w:numFmt w:val="lowerLetter"/>
      <w:lvlText w:val="%2."/>
      <w:lvlJc w:val="left"/>
      <w:pPr>
        <w:ind w:left="1360" w:hanging="360"/>
      </w:pPr>
    </w:lvl>
    <w:lvl w:ilvl="2" w:tplc="4009001B" w:tentative="1">
      <w:start w:val="1"/>
      <w:numFmt w:val="lowerRoman"/>
      <w:lvlText w:val="%3."/>
      <w:lvlJc w:val="right"/>
      <w:pPr>
        <w:ind w:left="2080" w:hanging="180"/>
      </w:pPr>
    </w:lvl>
    <w:lvl w:ilvl="3" w:tplc="4009000F" w:tentative="1">
      <w:start w:val="1"/>
      <w:numFmt w:val="decimal"/>
      <w:lvlText w:val="%4."/>
      <w:lvlJc w:val="left"/>
      <w:pPr>
        <w:ind w:left="2800" w:hanging="360"/>
      </w:pPr>
    </w:lvl>
    <w:lvl w:ilvl="4" w:tplc="40090019" w:tentative="1">
      <w:start w:val="1"/>
      <w:numFmt w:val="lowerLetter"/>
      <w:lvlText w:val="%5."/>
      <w:lvlJc w:val="left"/>
      <w:pPr>
        <w:ind w:left="3520" w:hanging="360"/>
      </w:pPr>
    </w:lvl>
    <w:lvl w:ilvl="5" w:tplc="4009001B" w:tentative="1">
      <w:start w:val="1"/>
      <w:numFmt w:val="lowerRoman"/>
      <w:lvlText w:val="%6."/>
      <w:lvlJc w:val="right"/>
      <w:pPr>
        <w:ind w:left="4240" w:hanging="180"/>
      </w:pPr>
    </w:lvl>
    <w:lvl w:ilvl="6" w:tplc="4009000F" w:tentative="1">
      <w:start w:val="1"/>
      <w:numFmt w:val="decimal"/>
      <w:lvlText w:val="%7."/>
      <w:lvlJc w:val="left"/>
      <w:pPr>
        <w:ind w:left="4960" w:hanging="360"/>
      </w:pPr>
    </w:lvl>
    <w:lvl w:ilvl="7" w:tplc="40090019" w:tentative="1">
      <w:start w:val="1"/>
      <w:numFmt w:val="lowerLetter"/>
      <w:lvlText w:val="%8."/>
      <w:lvlJc w:val="left"/>
      <w:pPr>
        <w:ind w:left="5680" w:hanging="360"/>
      </w:pPr>
    </w:lvl>
    <w:lvl w:ilvl="8" w:tplc="4009001B" w:tentative="1">
      <w:start w:val="1"/>
      <w:numFmt w:val="lowerRoman"/>
      <w:lvlText w:val="%9."/>
      <w:lvlJc w:val="right"/>
      <w:pPr>
        <w:ind w:left="6400" w:hanging="180"/>
      </w:pPr>
    </w:lvl>
  </w:abstractNum>
  <w:abstractNum w:abstractNumId="1" w15:restartNumberingAfterBreak="0">
    <w:nsid w:val="57C90F06"/>
    <w:multiLevelType w:val="hybridMultilevel"/>
    <w:tmpl w:val="EF8A0418"/>
    <w:lvl w:ilvl="0" w:tplc="580AD2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26451297">
    <w:abstractNumId w:val="0"/>
  </w:num>
  <w:num w:numId="2" w16cid:durableId="971981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7A"/>
    <w:rsid w:val="001931E6"/>
    <w:rsid w:val="00392C89"/>
    <w:rsid w:val="00500251"/>
    <w:rsid w:val="00507879"/>
    <w:rsid w:val="00534015"/>
    <w:rsid w:val="00623593"/>
    <w:rsid w:val="007B0A75"/>
    <w:rsid w:val="0084590B"/>
    <w:rsid w:val="009042CD"/>
    <w:rsid w:val="00912AED"/>
    <w:rsid w:val="0094057A"/>
    <w:rsid w:val="0099665C"/>
    <w:rsid w:val="00AC0AC9"/>
    <w:rsid w:val="00BD2B02"/>
    <w:rsid w:val="00C324AA"/>
    <w:rsid w:val="00C817A4"/>
    <w:rsid w:val="00F8510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1549"/>
  <w15:chartTrackingRefBased/>
  <w15:docId w15:val="{44E9E50A-70D2-475A-A9EE-034F27DA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57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94057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057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057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057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057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057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057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057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57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94057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057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057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057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057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057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057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057A"/>
    <w:rPr>
      <w:rFonts w:eastAsiaTheme="majorEastAsia" w:cstheme="majorBidi"/>
      <w:color w:val="272727" w:themeColor="text1" w:themeTint="D8"/>
    </w:rPr>
  </w:style>
  <w:style w:type="paragraph" w:styleId="Title">
    <w:name w:val="Title"/>
    <w:basedOn w:val="Normal"/>
    <w:next w:val="Normal"/>
    <w:link w:val="TitleChar"/>
    <w:uiPriority w:val="10"/>
    <w:qFormat/>
    <w:rsid w:val="0094057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7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057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057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057A"/>
    <w:pPr>
      <w:spacing w:before="160"/>
      <w:jc w:val="center"/>
    </w:pPr>
    <w:rPr>
      <w:i/>
      <w:iCs/>
      <w:color w:val="404040" w:themeColor="text1" w:themeTint="BF"/>
    </w:rPr>
  </w:style>
  <w:style w:type="character" w:customStyle="1" w:styleId="QuoteChar">
    <w:name w:val="Quote Char"/>
    <w:basedOn w:val="DefaultParagraphFont"/>
    <w:link w:val="Quote"/>
    <w:uiPriority w:val="29"/>
    <w:rsid w:val="0094057A"/>
    <w:rPr>
      <w:i/>
      <w:iCs/>
      <w:color w:val="404040" w:themeColor="text1" w:themeTint="BF"/>
    </w:rPr>
  </w:style>
  <w:style w:type="paragraph" w:styleId="ListParagraph">
    <w:name w:val="List Paragraph"/>
    <w:basedOn w:val="Normal"/>
    <w:uiPriority w:val="34"/>
    <w:qFormat/>
    <w:rsid w:val="0094057A"/>
    <w:pPr>
      <w:ind w:left="720"/>
      <w:contextualSpacing/>
    </w:pPr>
  </w:style>
  <w:style w:type="character" w:styleId="IntenseEmphasis">
    <w:name w:val="Intense Emphasis"/>
    <w:basedOn w:val="DefaultParagraphFont"/>
    <w:uiPriority w:val="21"/>
    <w:qFormat/>
    <w:rsid w:val="0094057A"/>
    <w:rPr>
      <w:i/>
      <w:iCs/>
      <w:color w:val="0F4761" w:themeColor="accent1" w:themeShade="BF"/>
    </w:rPr>
  </w:style>
  <w:style w:type="paragraph" w:styleId="IntenseQuote">
    <w:name w:val="Intense Quote"/>
    <w:basedOn w:val="Normal"/>
    <w:next w:val="Normal"/>
    <w:link w:val="IntenseQuoteChar"/>
    <w:uiPriority w:val="30"/>
    <w:qFormat/>
    <w:rsid w:val="0094057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057A"/>
    <w:rPr>
      <w:i/>
      <w:iCs/>
      <w:color w:val="0F4761" w:themeColor="accent1" w:themeShade="BF"/>
    </w:rPr>
  </w:style>
  <w:style w:type="character" w:styleId="IntenseReference">
    <w:name w:val="Intense Reference"/>
    <w:basedOn w:val="DefaultParagraphFont"/>
    <w:uiPriority w:val="32"/>
    <w:qFormat/>
    <w:rsid w:val="0094057A"/>
    <w:rPr>
      <w:b/>
      <w:bCs/>
      <w:smallCaps/>
      <w:color w:val="0F4761" w:themeColor="accent1" w:themeShade="BF"/>
      <w:spacing w:val="5"/>
    </w:rPr>
  </w:style>
  <w:style w:type="table" w:styleId="TableGrid">
    <w:name w:val="Table Grid"/>
    <w:basedOn w:val="TableNormal"/>
    <w:uiPriority w:val="39"/>
    <w:rsid w:val="0050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0A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C0AC9"/>
    <w:rPr>
      <w:color w:val="467886" w:themeColor="hyperlink"/>
      <w:u w:val="single"/>
    </w:rPr>
  </w:style>
  <w:style w:type="character" w:styleId="UnresolvedMention">
    <w:name w:val="Unresolved Mention"/>
    <w:basedOn w:val="DefaultParagraphFont"/>
    <w:uiPriority w:val="99"/>
    <w:semiHidden/>
    <w:unhideWhenUsed/>
    <w:rsid w:val="00AC0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4953">
      <w:bodyDiv w:val="1"/>
      <w:marLeft w:val="0"/>
      <w:marRight w:val="0"/>
      <w:marTop w:val="0"/>
      <w:marBottom w:val="0"/>
      <w:divBdr>
        <w:top w:val="none" w:sz="0" w:space="0" w:color="auto"/>
        <w:left w:val="none" w:sz="0" w:space="0" w:color="auto"/>
        <w:bottom w:val="none" w:sz="0" w:space="0" w:color="auto"/>
        <w:right w:val="none" w:sz="0" w:space="0" w:color="auto"/>
      </w:divBdr>
    </w:div>
    <w:div w:id="501899337">
      <w:bodyDiv w:val="1"/>
      <w:marLeft w:val="0"/>
      <w:marRight w:val="0"/>
      <w:marTop w:val="0"/>
      <w:marBottom w:val="0"/>
      <w:divBdr>
        <w:top w:val="none" w:sz="0" w:space="0" w:color="auto"/>
        <w:left w:val="none" w:sz="0" w:space="0" w:color="auto"/>
        <w:bottom w:val="none" w:sz="0" w:space="0" w:color="auto"/>
        <w:right w:val="none" w:sz="0" w:space="0" w:color="auto"/>
      </w:divBdr>
    </w:div>
    <w:div w:id="963386129">
      <w:bodyDiv w:val="1"/>
      <w:marLeft w:val="0"/>
      <w:marRight w:val="0"/>
      <w:marTop w:val="0"/>
      <w:marBottom w:val="0"/>
      <w:divBdr>
        <w:top w:val="none" w:sz="0" w:space="0" w:color="auto"/>
        <w:left w:val="none" w:sz="0" w:space="0" w:color="auto"/>
        <w:bottom w:val="none" w:sz="0" w:space="0" w:color="auto"/>
        <w:right w:val="none" w:sz="0" w:space="0" w:color="auto"/>
      </w:divBdr>
    </w:div>
    <w:div w:id="1872957341">
      <w:bodyDiv w:val="1"/>
      <w:marLeft w:val="0"/>
      <w:marRight w:val="0"/>
      <w:marTop w:val="0"/>
      <w:marBottom w:val="0"/>
      <w:divBdr>
        <w:top w:val="none" w:sz="0" w:space="0" w:color="auto"/>
        <w:left w:val="none" w:sz="0" w:space="0" w:color="auto"/>
        <w:bottom w:val="none" w:sz="0" w:space="0" w:color="auto"/>
        <w:right w:val="none" w:sz="0" w:space="0" w:color="auto"/>
      </w:divBdr>
    </w:div>
    <w:div w:id="194006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ek.com/wp-content/uploads/2023/02/LIST-OF-COMMITTEES.pdf" TargetMode="External"/><Relationship Id="rId13" Type="http://schemas.openxmlformats.org/officeDocument/2006/relationships/hyperlink" Target="https://www.transpek.com/wp-content/uploads/2018/04/Independent-Director-Familiarisation-Programme.pdf" TargetMode="External"/><Relationship Id="rId18" Type="http://schemas.openxmlformats.org/officeDocument/2006/relationships/hyperlink" Target="https://www.transpek.com/financial-results/" TargetMode="External"/><Relationship Id="rId26" Type="http://schemas.openxmlformats.org/officeDocument/2006/relationships/hyperlink" Target="https://www.transpek.com/policies-and-other-information/" TargetMode="External"/><Relationship Id="rId3" Type="http://schemas.openxmlformats.org/officeDocument/2006/relationships/styles" Target="styles.xml"/><Relationship Id="rId21" Type="http://schemas.openxmlformats.org/officeDocument/2006/relationships/hyperlink" Target="https://www.transpek.com/policies-and-other-information/" TargetMode="External"/><Relationship Id="rId7" Type="http://schemas.openxmlformats.org/officeDocument/2006/relationships/hyperlink" Target="https://www.transpek.com/wp-content/uploads/2023/02/familiarisation-programme-policy.pdf" TargetMode="External"/><Relationship Id="rId12" Type="http://schemas.openxmlformats.org/officeDocument/2006/relationships/hyperlink" Target="https://www.transpek.com/wp-content/uploads/2022/04/Policy-on-Related-Party-Transactions.pdf" TargetMode="External"/><Relationship Id="rId17" Type="http://schemas.openxmlformats.org/officeDocument/2006/relationships/hyperlink" Target="https://www.transpek.com/policies-and-other-information/" TargetMode="External"/><Relationship Id="rId25" Type="http://schemas.openxmlformats.org/officeDocument/2006/relationships/hyperlink" Target="https://www.transpek.com/wp-content/uploads/2023/02/KMP-Authorisation.pdf" TargetMode="External"/><Relationship Id="rId2" Type="http://schemas.openxmlformats.org/officeDocument/2006/relationships/numbering" Target="numbering.xml"/><Relationship Id="rId16" Type="http://schemas.openxmlformats.org/officeDocument/2006/relationships/hyperlink" Target="https://www.transpek.com/financial-results/" TargetMode="External"/><Relationship Id="rId20" Type="http://schemas.openxmlformats.org/officeDocument/2006/relationships/hyperlink" Target="https://www.transpek.com/policies-and-other-inform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ranspek.com/profile/" TargetMode="External"/><Relationship Id="rId11" Type="http://schemas.openxmlformats.org/officeDocument/2006/relationships/hyperlink" Target="https://www.transpek.com/wp-content/uploads/2023/04/Criteria-for-making-payment-to-Non-Executive-Directors.pdf" TargetMode="External"/><Relationship Id="rId24" Type="http://schemas.openxmlformats.org/officeDocument/2006/relationships/hyperlink" Target="https://www.transpek.com/policies-and-other-information/" TargetMode="External"/><Relationship Id="rId5" Type="http://schemas.openxmlformats.org/officeDocument/2006/relationships/webSettings" Target="webSettings.xml"/><Relationship Id="rId15" Type="http://schemas.openxmlformats.org/officeDocument/2006/relationships/hyperlink" Target="https://www.transpek.com/investors-grievances/" TargetMode="External"/><Relationship Id="rId23" Type="http://schemas.openxmlformats.org/officeDocument/2006/relationships/hyperlink" Target="https://www.transpek.com/policies-and-other-information/" TargetMode="External"/><Relationship Id="rId28" Type="http://schemas.openxmlformats.org/officeDocument/2006/relationships/hyperlink" Target="https://www.transpek.com/policies-and-other-information/" TargetMode="External"/><Relationship Id="rId10" Type="http://schemas.openxmlformats.org/officeDocument/2006/relationships/hyperlink" Target="https://www.transpek.com/wp-content/uploads/2018/10/Whistle-Blower-Policy.pdf" TargetMode="External"/><Relationship Id="rId19" Type="http://schemas.openxmlformats.org/officeDocument/2006/relationships/hyperlink" Target="https://www.transpek.com/financial-results/" TargetMode="External"/><Relationship Id="rId4" Type="http://schemas.openxmlformats.org/officeDocument/2006/relationships/settings" Target="settings.xml"/><Relationship Id="rId9" Type="http://schemas.openxmlformats.org/officeDocument/2006/relationships/hyperlink" Target="https://www.transpek.com/wp-content/uploads/2018/04/Code-of-Conduct.pdf" TargetMode="External"/><Relationship Id="rId14" Type="http://schemas.openxmlformats.org/officeDocument/2006/relationships/hyperlink" Target="https://www.transpek.com/investors-grievances/" TargetMode="External"/><Relationship Id="rId22" Type="http://schemas.openxmlformats.org/officeDocument/2006/relationships/hyperlink" Target="https://www.transpek.com/financial-results/" TargetMode="External"/><Relationship Id="rId27" Type="http://schemas.openxmlformats.org/officeDocument/2006/relationships/hyperlink" Target="https://www.transpek.com/policies-and-other-inform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848B-C2BD-40B2-8258-4B20D184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Shah</dc:creator>
  <cp:keywords/>
  <dc:description/>
  <cp:lastModifiedBy>Alak Vyas</cp:lastModifiedBy>
  <cp:revision>11</cp:revision>
  <dcterms:created xsi:type="dcterms:W3CDTF">2024-04-08T08:37:00Z</dcterms:created>
  <dcterms:modified xsi:type="dcterms:W3CDTF">2024-04-08T10:07:00Z</dcterms:modified>
</cp:coreProperties>
</file>